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附件：</w:t>
      </w:r>
    </w:p>
    <w:p>
      <w:pPr>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公文小标宋" w:cs="Times New Roman"/>
          <w:color w:val="auto"/>
          <w:sz w:val="44"/>
          <w:szCs w:val="44"/>
          <w:highlight w:val="none"/>
          <w:lang w:val="en-US" w:eastAsia="zh-CN"/>
        </w:rPr>
      </w:pPr>
    </w:p>
    <w:p>
      <w:pPr>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rPr>
        <w:t>辽宁省公共数据资源</w:t>
      </w:r>
      <w:r>
        <w:rPr>
          <w:rFonts w:hint="default" w:ascii="Times New Roman" w:hAnsi="Times New Roman" w:eastAsia="方正小标宋简体" w:cs="Times New Roman"/>
          <w:b w:val="0"/>
          <w:bCs w:val="0"/>
          <w:color w:val="auto"/>
          <w:sz w:val="44"/>
          <w:szCs w:val="44"/>
          <w:highlight w:val="none"/>
          <w:lang w:val="en-US" w:eastAsia="zh-CN"/>
        </w:rPr>
        <w:t>登记管理实施细则</w:t>
      </w:r>
    </w:p>
    <w:p>
      <w:pPr>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（征求意见稿）</w:t>
      </w:r>
    </w:p>
    <w:p>
      <w:pPr>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微软雅黑" w:cs="Times New Roman"/>
          <w:color w:val="auto"/>
          <w:sz w:val="32"/>
          <w:szCs w:val="32"/>
          <w:highlight w:val="none"/>
        </w:rPr>
      </w:pPr>
    </w:p>
    <w:p>
      <w:pPr>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总则</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【目的和依据】</w:t>
      </w:r>
    </w:p>
    <w:p>
      <w:pPr>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32"/>
          <w:szCs w:val="32"/>
          <w:highlight w:val="none"/>
          <w:shd w:val="clear" w:color="auto" w:fill="auto"/>
          <w:lang w:val="en-US" w:eastAsia="zh-CN"/>
        </w:rPr>
      </w:pPr>
      <w:r>
        <w:rPr>
          <w:rFonts w:hint="default" w:ascii="Times New Roman" w:hAnsi="Times New Roman" w:cs="Times New Roman"/>
          <w:color w:val="auto"/>
          <w:sz w:val="32"/>
          <w:szCs w:val="32"/>
          <w:highlight w:val="none"/>
          <w:shd w:val="clear" w:color="auto" w:fill="auto"/>
          <w:lang w:val="en-US" w:eastAsia="zh-CN"/>
        </w:rPr>
        <w:t>为促进辽宁省公共数据资源合规高效开发利用，规范公共数据资源登记行为，服务全国一体化公共数据资源登记体系构建，根据</w:t>
      </w:r>
      <w:r>
        <w:rPr>
          <w:rFonts w:hint="eastAsia" w:cs="Times New Roman"/>
          <w:color w:val="auto"/>
          <w:sz w:val="32"/>
          <w:szCs w:val="32"/>
          <w:highlight w:val="none"/>
          <w:shd w:val="clear" w:color="auto" w:fill="auto"/>
          <w:lang w:val="en-US" w:eastAsia="zh-CN"/>
        </w:rPr>
        <w:t>《</w:t>
      </w:r>
      <w:r>
        <w:rPr>
          <w:rFonts w:hint="default" w:ascii="Times New Roman" w:hAnsi="Times New Roman" w:cs="Times New Roman"/>
          <w:color w:val="auto"/>
          <w:sz w:val="32"/>
          <w:szCs w:val="32"/>
          <w:highlight w:val="none"/>
          <w:shd w:val="clear" w:color="auto" w:fill="auto"/>
          <w:lang w:val="en-US" w:eastAsia="zh-CN"/>
        </w:rPr>
        <w:t>中华人民共和国</w:t>
      </w:r>
      <w:r>
        <w:rPr>
          <w:rFonts w:hint="eastAsia" w:cs="Times New Roman"/>
          <w:color w:val="auto"/>
          <w:sz w:val="32"/>
          <w:szCs w:val="32"/>
          <w:highlight w:val="none"/>
          <w:shd w:val="clear" w:color="auto" w:fill="auto"/>
          <w:lang w:val="en-US" w:eastAsia="zh-CN"/>
        </w:rPr>
        <w:t>网络</w:t>
      </w:r>
      <w:r>
        <w:rPr>
          <w:rFonts w:hint="default" w:ascii="Times New Roman" w:hAnsi="Times New Roman" w:cs="Times New Roman"/>
          <w:color w:val="auto"/>
          <w:sz w:val="32"/>
          <w:szCs w:val="32"/>
          <w:highlight w:val="none"/>
          <w:shd w:val="clear" w:color="auto" w:fill="auto"/>
          <w:lang w:val="en-US" w:eastAsia="zh-CN"/>
        </w:rPr>
        <w:t>安全法</w:t>
      </w:r>
      <w:r>
        <w:rPr>
          <w:rFonts w:hint="eastAsia" w:cs="Times New Roman"/>
          <w:color w:val="auto"/>
          <w:sz w:val="32"/>
          <w:szCs w:val="32"/>
          <w:highlight w:val="none"/>
          <w:shd w:val="clear" w:color="auto" w:fill="auto"/>
          <w:lang w:val="en-US" w:eastAsia="zh-CN"/>
        </w:rPr>
        <w:t>》</w:t>
      </w:r>
      <w:r>
        <w:rPr>
          <w:rFonts w:hint="default" w:ascii="Times New Roman" w:hAnsi="Times New Roman" w:cs="Times New Roman"/>
          <w:color w:val="auto"/>
          <w:sz w:val="32"/>
          <w:szCs w:val="32"/>
          <w:highlight w:val="none"/>
          <w:shd w:val="clear" w:color="auto" w:fill="auto"/>
          <w:lang w:val="en-US" w:eastAsia="zh-CN"/>
        </w:rPr>
        <w:t>《中华人民共和国数据安全法》《中华人民共和国个人信息保护法》</w:t>
      </w:r>
      <w:r>
        <w:rPr>
          <w:rFonts w:hint="default" w:ascii="Times New Roman" w:hAnsi="Times New Roman" w:eastAsia="仿宋_GB2312" w:cs="Times New Roman"/>
          <w:color w:val="auto"/>
          <w:sz w:val="32"/>
          <w:szCs w:val="32"/>
        </w:rPr>
        <w:t>等</w:t>
      </w:r>
      <w:r>
        <w:rPr>
          <w:rFonts w:hint="eastAsia" w:cs="Times New Roman"/>
          <w:color w:val="auto"/>
          <w:sz w:val="32"/>
          <w:szCs w:val="32"/>
          <w:lang w:eastAsia="zh-CN"/>
        </w:rPr>
        <w:t>法律法规</w:t>
      </w:r>
      <w:r>
        <w:rPr>
          <w:rFonts w:hint="default" w:ascii="Times New Roman" w:hAnsi="Times New Roman" w:cs="Times New Roman"/>
          <w:color w:val="auto"/>
          <w:sz w:val="32"/>
          <w:szCs w:val="32"/>
          <w:highlight w:val="none"/>
          <w:shd w:val="clear" w:color="auto" w:fill="auto"/>
          <w:lang w:val="en-US" w:eastAsia="zh-CN"/>
        </w:rPr>
        <w:t>，按照《中共中央</w:t>
      </w:r>
      <w:r>
        <w:rPr>
          <w:rFonts w:hint="eastAsia" w:cs="Times New Roman"/>
          <w:color w:val="auto"/>
          <w:sz w:val="32"/>
          <w:szCs w:val="32"/>
          <w:highlight w:val="none"/>
          <w:shd w:val="clear" w:color="auto" w:fill="auto"/>
          <w:lang w:val="en-US" w:eastAsia="zh-CN"/>
        </w:rPr>
        <w:t xml:space="preserve"> </w:t>
      </w:r>
      <w:r>
        <w:rPr>
          <w:rFonts w:hint="default" w:ascii="Times New Roman" w:hAnsi="Times New Roman" w:cs="Times New Roman"/>
          <w:color w:val="auto"/>
          <w:sz w:val="32"/>
          <w:szCs w:val="32"/>
          <w:highlight w:val="none"/>
          <w:shd w:val="clear" w:color="auto" w:fill="auto"/>
          <w:lang w:val="en-US" w:eastAsia="zh-CN"/>
        </w:rPr>
        <w:t>国务院关于构建数据基础制度更好发挥数据要素作用的意见》《中共中央</w:t>
      </w:r>
      <w:r>
        <w:rPr>
          <w:rFonts w:hint="eastAsia" w:cs="Times New Roman"/>
          <w:color w:val="auto"/>
          <w:sz w:val="32"/>
          <w:szCs w:val="32"/>
          <w:highlight w:val="none"/>
          <w:shd w:val="clear" w:color="auto" w:fill="auto"/>
          <w:lang w:val="en-US" w:eastAsia="zh-CN"/>
        </w:rPr>
        <w:t xml:space="preserve"> </w:t>
      </w:r>
      <w:r>
        <w:rPr>
          <w:rFonts w:hint="default" w:ascii="Times New Roman" w:hAnsi="Times New Roman" w:cs="Times New Roman"/>
          <w:color w:val="auto"/>
          <w:sz w:val="32"/>
          <w:szCs w:val="32"/>
          <w:highlight w:val="none"/>
          <w:shd w:val="clear" w:color="auto" w:fill="auto"/>
          <w:lang w:val="en-US" w:eastAsia="zh-CN"/>
        </w:rPr>
        <w:t>国务院关于加快公共数据资源开发利用的意见》</w:t>
      </w:r>
      <w:r>
        <w:rPr>
          <w:rFonts w:hint="eastAsia" w:cs="Times New Roman"/>
          <w:color w:val="auto"/>
          <w:sz w:val="32"/>
          <w:szCs w:val="32"/>
          <w:highlight w:val="none"/>
          <w:shd w:val="clear" w:color="auto" w:fill="auto"/>
          <w:lang w:val="en-US" w:eastAsia="zh-CN"/>
        </w:rPr>
        <w:t>和</w:t>
      </w:r>
      <w:r>
        <w:rPr>
          <w:rFonts w:hint="default" w:ascii="Times New Roman" w:hAnsi="Times New Roman" w:eastAsia="仿宋_GB2312" w:cs="Times New Roman"/>
          <w:color w:val="auto"/>
          <w:sz w:val="32"/>
          <w:szCs w:val="32"/>
        </w:rPr>
        <w:t>《公共数据资源登记管理暂行办法》</w:t>
      </w:r>
      <w:r>
        <w:rPr>
          <w:rFonts w:hint="default" w:ascii="Times New Roman" w:hAnsi="Times New Roman" w:cs="Times New Roman"/>
          <w:color w:val="auto"/>
          <w:sz w:val="32"/>
          <w:szCs w:val="32"/>
          <w:highlight w:val="none"/>
          <w:shd w:val="clear" w:color="auto" w:fill="auto"/>
          <w:lang w:val="en-US" w:eastAsia="zh-CN"/>
        </w:rPr>
        <w:t>要求</w:t>
      </w:r>
      <w:r>
        <w:rPr>
          <w:rFonts w:hint="default" w:ascii="Times New Roman" w:hAnsi="Times New Roman" w:eastAsia="仿宋_GB2312" w:cs="Times New Roman"/>
          <w:color w:val="auto"/>
          <w:sz w:val="32"/>
          <w:szCs w:val="32"/>
        </w:rPr>
        <w:t>，结合本</w:t>
      </w:r>
      <w:r>
        <w:rPr>
          <w:rFonts w:hint="default" w:ascii="Times New Roman" w:hAnsi="Times New Roman" w:cs="Times New Roman"/>
          <w:color w:val="auto"/>
          <w:sz w:val="32"/>
          <w:szCs w:val="32"/>
          <w:lang w:val="en-US" w:eastAsia="zh-CN"/>
        </w:rPr>
        <w:t>省</w:t>
      </w:r>
      <w:r>
        <w:rPr>
          <w:rFonts w:hint="default" w:ascii="Times New Roman" w:hAnsi="Times New Roman" w:eastAsia="仿宋_GB2312" w:cs="Times New Roman"/>
          <w:color w:val="auto"/>
          <w:sz w:val="32"/>
          <w:szCs w:val="32"/>
        </w:rPr>
        <w:t>实际，制定本细则。</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【适用范围】</w:t>
      </w:r>
    </w:p>
    <w:p>
      <w:pPr>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32"/>
          <w:szCs w:val="32"/>
          <w:highlight w:val="none"/>
          <w:shd w:val="clear" w:color="auto" w:fill="auto"/>
          <w:lang w:val="en-US" w:eastAsia="zh-CN"/>
        </w:rPr>
      </w:pPr>
      <w:r>
        <w:rPr>
          <w:rFonts w:hint="default" w:ascii="Times New Roman" w:hAnsi="Times New Roman" w:cs="Times New Roman"/>
          <w:color w:val="auto"/>
          <w:sz w:val="32"/>
          <w:szCs w:val="32"/>
          <w:highlight w:val="none"/>
          <w:shd w:val="clear" w:color="auto" w:fill="auto"/>
          <w:lang w:val="en-US" w:eastAsia="zh-CN"/>
        </w:rPr>
        <w:t>在辽宁省行政区域内开展公共数据资源的登记活动及其监督管理，适用本细则。</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【术语解释】</w:t>
      </w:r>
    </w:p>
    <w:p>
      <w:pPr>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本细则中的术语含义：</w:t>
      </w:r>
    </w:p>
    <w:p>
      <w:pPr>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32"/>
          <w:szCs w:val="32"/>
          <w:highlight w:val="none"/>
          <w:shd w:val="clear" w:color="auto" w:fill="auto"/>
          <w:lang w:val="en-US" w:eastAsia="zh-CN"/>
        </w:rPr>
      </w:pPr>
      <w:r>
        <w:rPr>
          <w:rFonts w:hint="default" w:ascii="Times New Roman" w:hAnsi="Times New Roman" w:cs="Times New Roman"/>
          <w:color w:val="auto"/>
          <w:sz w:val="32"/>
          <w:szCs w:val="32"/>
          <w:highlight w:val="none"/>
          <w:shd w:val="clear" w:color="auto" w:fill="auto"/>
          <w:lang w:val="en-US" w:eastAsia="zh-CN"/>
        </w:rPr>
        <w:t>（一）公共数据资源，是指各级党政机关、企事业单位依法履职或提供公共服务过程中产生的具有利用价值的数据集合。</w:t>
      </w:r>
    </w:p>
    <w:p>
      <w:pPr>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32"/>
          <w:szCs w:val="32"/>
          <w:highlight w:val="none"/>
          <w:shd w:val="clear" w:color="auto" w:fill="auto"/>
          <w:lang w:val="en-US" w:eastAsia="zh-CN"/>
        </w:rPr>
      </w:pPr>
      <w:r>
        <w:rPr>
          <w:rFonts w:hint="default" w:ascii="Times New Roman" w:hAnsi="Times New Roman" w:cs="Times New Roman"/>
          <w:color w:val="auto"/>
          <w:sz w:val="32"/>
          <w:szCs w:val="32"/>
          <w:highlight w:val="none"/>
          <w:shd w:val="clear" w:color="auto" w:fill="auto"/>
          <w:lang w:val="en-US" w:eastAsia="zh-CN"/>
        </w:rPr>
        <w:t>（二）登记主体，是指根据工作职责直接持有或管理公共数据资源</w:t>
      </w:r>
      <w:r>
        <w:rPr>
          <w:rFonts w:hint="eastAsia" w:cs="Times New Roman"/>
          <w:color w:val="auto"/>
          <w:sz w:val="32"/>
          <w:szCs w:val="32"/>
          <w:highlight w:val="none"/>
          <w:shd w:val="clear" w:color="auto" w:fill="auto"/>
          <w:lang w:val="en-US" w:eastAsia="zh-CN"/>
        </w:rPr>
        <w:t>的单位</w:t>
      </w:r>
      <w:r>
        <w:rPr>
          <w:rFonts w:hint="default" w:ascii="Times New Roman" w:hAnsi="Times New Roman" w:cs="Times New Roman"/>
          <w:color w:val="auto"/>
          <w:sz w:val="32"/>
          <w:szCs w:val="32"/>
          <w:highlight w:val="none"/>
          <w:shd w:val="clear" w:color="auto" w:fill="auto"/>
          <w:lang w:val="en-US" w:eastAsia="zh-CN"/>
        </w:rPr>
        <w:t>，以及依法依规对授权范围的公共数据资源进行开发运营的法人组织。</w:t>
      </w:r>
    </w:p>
    <w:p>
      <w:pPr>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32"/>
          <w:szCs w:val="32"/>
          <w:highlight w:val="none"/>
          <w:shd w:val="clear" w:color="auto" w:fill="auto"/>
          <w:lang w:val="en-US" w:eastAsia="zh-CN"/>
        </w:rPr>
      </w:pPr>
      <w:r>
        <w:rPr>
          <w:rFonts w:hint="default" w:ascii="Times New Roman" w:hAnsi="Times New Roman" w:cs="Times New Roman"/>
          <w:color w:val="auto"/>
          <w:sz w:val="32"/>
          <w:szCs w:val="32"/>
          <w:highlight w:val="none"/>
          <w:shd w:val="clear" w:color="auto" w:fill="auto"/>
          <w:lang w:val="en-US" w:eastAsia="zh-CN"/>
        </w:rPr>
        <w:t>（三）登记机构，是指</w:t>
      </w:r>
      <w:r>
        <w:rPr>
          <w:rFonts w:hint="eastAsia" w:cs="Times New Roman"/>
          <w:color w:val="auto"/>
          <w:sz w:val="32"/>
          <w:szCs w:val="32"/>
          <w:highlight w:val="none"/>
          <w:shd w:val="clear" w:color="auto" w:fill="auto"/>
          <w:lang w:val="en-US" w:eastAsia="zh-CN"/>
        </w:rPr>
        <w:t>由</w:t>
      </w:r>
      <w:r>
        <w:rPr>
          <w:rFonts w:hint="default" w:ascii="Times New Roman" w:hAnsi="Times New Roman" w:cs="Times New Roman"/>
          <w:color w:val="auto"/>
          <w:sz w:val="32"/>
          <w:szCs w:val="32"/>
          <w:highlight w:val="none"/>
          <w:shd w:val="clear" w:color="auto" w:fill="auto"/>
          <w:lang w:val="en-US" w:eastAsia="zh-CN"/>
        </w:rPr>
        <w:t>数据</w:t>
      </w:r>
      <w:r>
        <w:rPr>
          <w:rFonts w:hint="eastAsia" w:cs="Times New Roman"/>
          <w:color w:val="auto"/>
          <w:sz w:val="32"/>
          <w:szCs w:val="32"/>
          <w:highlight w:val="none"/>
          <w:shd w:val="clear" w:color="auto" w:fill="auto"/>
          <w:lang w:val="en-US" w:eastAsia="zh-CN"/>
        </w:rPr>
        <w:t>管理</w:t>
      </w:r>
      <w:r>
        <w:rPr>
          <w:rFonts w:hint="default" w:ascii="Times New Roman" w:hAnsi="Times New Roman" w:cs="Times New Roman"/>
          <w:color w:val="auto"/>
          <w:sz w:val="32"/>
          <w:szCs w:val="32"/>
          <w:highlight w:val="none"/>
          <w:shd w:val="clear" w:color="auto" w:fill="auto"/>
          <w:lang w:val="en-US" w:eastAsia="zh-CN"/>
        </w:rPr>
        <w:t>部门指定或设立的</w:t>
      </w:r>
      <w:r>
        <w:rPr>
          <w:rFonts w:hint="eastAsia" w:cs="Times New Roman"/>
          <w:color w:val="auto"/>
          <w:sz w:val="32"/>
          <w:szCs w:val="32"/>
          <w:highlight w:val="none"/>
          <w:shd w:val="clear" w:color="auto" w:fill="auto"/>
          <w:lang w:val="en-US" w:eastAsia="zh-CN"/>
        </w:rPr>
        <w:t>、</w:t>
      </w:r>
      <w:r>
        <w:rPr>
          <w:rFonts w:hint="default" w:ascii="Times New Roman" w:hAnsi="Times New Roman" w:cs="Times New Roman"/>
          <w:color w:val="auto"/>
          <w:sz w:val="32"/>
          <w:szCs w:val="32"/>
          <w:highlight w:val="none"/>
          <w:shd w:val="clear" w:color="auto" w:fill="auto"/>
          <w:lang w:val="en-US" w:eastAsia="zh-CN"/>
        </w:rPr>
        <w:t>提供公共数据资源登记服务的事业单位。</w:t>
      </w:r>
    </w:p>
    <w:p>
      <w:pPr>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32"/>
          <w:szCs w:val="32"/>
          <w:highlight w:val="none"/>
          <w:shd w:val="clear" w:color="auto" w:fill="auto"/>
          <w:lang w:val="en-US" w:eastAsia="zh-CN"/>
        </w:rPr>
      </w:pPr>
      <w:r>
        <w:rPr>
          <w:rFonts w:hint="default" w:ascii="Times New Roman" w:hAnsi="Times New Roman" w:cs="Times New Roman"/>
          <w:color w:val="auto"/>
          <w:sz w:val="32"/>
          <w:szCs w:val="32"/>
          <w:highlight w:val="none"/>
          <w:shd w:val="clear" w:color="auto" w:fill="auto"/>
          <w:lang w:val="en-US" w:eastAsia="zh-CN"/>
        </w:rPr>
        <w:t>（四）登记平台，是指支撑公共数据资源登记全流程服务管理的信息化系统。</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【基本原则】</w:t>
      </w:r>
    </w:p>
    <w:p>
      <w:pPr>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公共数据资源登记应当维护国家安全和公共利益，保护</w:t>
      </w:r>
      <w:r>
        <w:rPr>
          <w:rFonts w:hint="default" w:ascii="Times New Roman" w:hAnsi="Times New Roman" w:eastAsia="仿宋_GB2312" w:cs="Times New Roman"/>
          <w:color w:val="auto"/>
          <w:sz w:val="32"/>
          <w:szCs w:val="32"/>
          <w:lang w:eastAsia="zh"/>
        </w:rPr>
        <w:t>国家秘密、</w:t>
      </w:r>
      <w:r>
        <w:rPr>
          <w:rFonts w:hint="default" w:ascii="Times New Roman" w:hAnsi="Times New Roman" w:eastAsia="仿宋_GB2312" w:cs="Times New Roman"/>
          <w:color w:val="auto"/>
          <w:sz w:val="32"/>
          <w:szCs w:val="32"/>
        </w:rPr>
        <w:t>商业秘密</w:t>
      </w:r>
      <w:r>
        <w:rPr>
          <w:rFonts w:hint="default" w:ascii="Times New Roman" w:hAnsi="Times New Roman" w:eastAsia="仿宋_GB2312" w:cs="Times New Roman"/>
          <w:color w:val="auto"/>
          <w:sz w:val="32"/>
          <w:szCs w:val="32"/>
          <w:lang w:eastAsia="zh"/>
        </w:rPr>
        <w:t>、</w:t>
      </w:r>
      <w:r>
        <w:rPr>
          <w:rFonts w:hint="default" w:ascii="Times New Roman" w:hAnsi="Times New Roman" w:eastAsia="仿宋_GB2312" w:cs="Times New Roman"/>
          <w:color w:val="auto"/>
          <w:sz w:val="32"/>
          <w:szCs w:val="32"/>
        </w:rPr>
        <w:t>个人</w:t>
      </w:r>
      <w:r>
        <w:rPr>
          <w:rFonts w:hint="default" w:ascii="Times New Roman" w:hAnsi="Times New Roman" w:eastAsia="仿宋_GB2312" w:cs="Times New Roman"/>
          <w:color w:val="auto"/>
          <w:sz w:val="32"/>
          <w:szCs w:val="32"/>
          <w:lang w:eastAsia="zh"/>
        </w:rPr>
        <w:t>隐私和个人信息权益</w:t>
      </w:r>
      <w:r>
        <w:rPr>
          <w:rFonts w:hint="default" w:ascii="Times New Roman" w:hAnsi="Times New Roman" w:eastAsia="仿宋_GB2312" w:cs="Times New Roman"/>
          <w:color w:val="auto"/>
          <w:sz w:val="32"/>
          <w:szCs w:val="32"/>
        </w:rPr>
        <w:t>，遵循依法合规、公开透明、标准规范、安全高效的原则。</w:t>
      </w:r>
    </w:p>
    <w:p>
      <w:pPr>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val="en-US" w:eastAsia="zh-CN"/>
        </w:rPr>
      </w:pPr>
    </w:p>
    <w:p>
      <w:pPr>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职责分工</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w:t>
      </w:r>
      <w:r>
        <w:rPr>
          <w:rFonts w:hint="eastAsia" w:eastAsia="楷体_GB2312" w:cs="Times New Roman"/>
          <w:b/>
          <w:bCs/>
          <w:color w:val="auto"/>
          <w:sz w:val="32"/>
          <w:szCs w:val="32"/>
          <w:highlight w:val="none"/>
          <w:lang w:val="en-US" w:eastAsia="zh-CN"/>
        </w:rPr>
        <w:t>数据管理部门职责</w:t>
      </w:r>
      <w:r>
        <w:rPr>
          <w:rFonts w:hint="default" w:ascii="Times New Roman" w:hAnsi="Times New Roman" w:eastAsia="楷体_GB2312" w:cs="Times New Roman"/>
          <w:b/>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省级</w:t>
      </w:r>
      <w:r>
        <w:rPr>
          <w:rFonts w:hint="default" w:ascii="Times New Roman" w:hAnsi="Times New Roman" w:eastAsia="仿宋_GB2312" w:cs="Times New Roman"/>
          <w:color w:val="auto"/>
          <w:sz w:val="32"/>
          <w:szCs w:val="32"/>
        </w:rPr>
        <w:t>数据</w:t>
      </w:r>
      <w:r>
        <w:rPr>
          <w:rFonts w:hint="eastAsia" w:cs="Times New Roman"/>
          <w:color w:val="auto"/>
          <w:sz w:val="32"/>
          <w:szCs w:val="32"/>
          <w:lang w:val="en-US" w:eastAsia="zh-CN"/>
        </w:rPr>
        <w:t>管理</w:t>
      </w:r>
      <w:r>
        <w:rPr>
          <w:rFonts w:hint="default" w:ascii="Times New Roman" w:hAnsi="Times New Roman" w:eastAsia="仿宋_GB2312" w:cs="Times New Roman"/>
          <w:color w:val="auto"/>
          <w:sz w:val="32"/>
          <w:szCs w:val="32"/>
        </w:rPr>
        <w:t>部门负责统筹、协调、指导、监督全</w:t>
      </w:r>
      <w:r>
        <w:rPr>
          <w:rFonts w:hint="default" w:ascii="Times New Roman" w:hAnsi="Times New Roman" w:cs="Times New Roman"/>
          <w:color w:val="auto"/>
          <w:sz w:val="32"/>
          <w:szCs w:val="32"/>
          <w:lang w:val="en-US" w:eastAsia="zh-CN"/>
        </w:rPr>
        <w:t>省</w:t>
      </w:r>
      <w:r>
        <w:rPr>
          <w:rFonts w:hint="default" w:ascii="Times New Roman" w:hAnsi="Times New Roman" w:eastAsia="仿宋_GB2312" w:cs="Times New Roman"/>
          <w:color w:val="auto"/>
          <w:sz w:val="32"/>
          <w:szCs w:val="32"/>
        </w:rPr>
        <w:t>公共数据资源登记工作，建立公共数据资源登记制度规范与工作机制，</w:t>
      </w:r>
      <w:r>
        <w:rPr>
          <w:rFonts w:hint="eastAsia" w:cs="Times New Roman"/>
          <w:color w:val="auto"/>
          <w:sz w:val="32"/>
          <w:szCs w:val="32"/>
          <w:lang w:val="en-US" w:eastAsia="zh-CN"/>
        </w:rPr>
        <w:t>依托登记信息和政务数据目录，</w:t>
      </w:r>
      <w:r>
        <w:rPr>
          <w:rFonts w:hint="default" w:ascii="Times New Roman" w:hAnsi="Times New Roman" w:eastAsia="仿宋_GB2312" w:cs="Times New Roman"/>
          <w:color w:val="auto"/>
          <w:sz w:val="32"/>
          <w:szCs w:val="32"/>
        </w:rPr>
        <w:t>建立</w:t>
      </w:r>
      <w:r>
        <w:rPr>
          <w:rFonts w:hint="eastAsia" w:cs="Times New Roman"/>
          <w:color w:val="auto"/>
          <w:sz w:val="32"/>
          <w:szCs w:val="32"/>
          <w:lang w:val="en-US" w:eastAsia="zh-CN"/>
        </w:rPr>
        <w:t>健全</w:t>
      </w:r>
      <w:r>
        <w:rPr>
          <w:rFonts w:hint="default" w:ascii="Times New Roman" w:hAnsi="Times New Roman" w:eastAsia="仿宋_GB2312" w:cs="Times New Roman"/>
          <w:color w:val="auto"/>
          <w:sz w:val="32"/>
          <w:szCs w:val="32"/>
        </w:rPr>
        <w:t>公共数据资源目录</w:t>
      </w:r>
      <w:r>
        <w:rPr>
          <w:rFonts w:hint="eastAsia" w:cs="Times New Roman"/>
          <w:color w:val="auto"/>
          <w:lang w:eastAsia="zh-CN"/>
        </w:rPr>
        <w:t>，</w:t>
      </w:r>
      <w:r>
        <w:rPr>
          <w:rFonts w:hint="eastAsia" w:cs="Times New Roman"/>
          <w:color w:val="auto"/>
          <w:lang w:val="en-US" w:eastAsia="zh-CN"/>
        </w:rPr>
        <w:t>按照集约化原则</w:t>
      </w:r>
      <w:r>
        <w:rPr>
          <w:rFonts w:hint="default" w:ascii="Times New Roman" w:hAnsi="Times New Roman" w:eastAsia="仿宋_GB2312" w:cs="Times New Roman"/>
          <w:color w:val="auto"/>
          <w:sz w:val="32"/>
          <w:szCs w:val="32"/>
        </w:rPr>
        <w:t>统筹</w:t>
      </w:r>
      <w:r>
        <w:rPr>
          <w:rFonts w:hint="eastAsia" w:cs="Times New Roman"/>
          <w:color w:val="auto"/>
          <w:sz w:val="32"/>
          <w:szCs w:val="32"/>
          <w:lang w:val="en-US" w:eastAsia="zh-CN"/>
        </w:rPr>
        <w:t>辽宁省</w:t>
      </w:r>
      <w:r>
        <w:rPr>
          <w:rFonts w:hint="default" w:ascii="Times New Roman" w:hAnsi="Times New Roman" w:cs="Times New Roman"/>
          <w:color w:val="auto"/>
          <w:sz w:val="32"/>
          <w:szCs w:val="32"/>
          <w:lang w:val="en-US" w:eastAsia="zh-CN"/>
        </w:rPr>
        <w:t>公共数据资源</w:t>
      </w:r>
      <w:r>
        <w:rPr>
          <w:rFonts w:hint="default" w:ascii="Times New Roman" w:hAnsi="Times New Roman" w:eastAsia="仿宋_GB2312" w:cs="Times New Roman"/>
          <w:color w:val="auto"/>
          <w:sz w:val="32"/>
          <w:szCs w:val="32"/>
        </w:rPr>
        <w:t>登记平台建设</w:t>
      </w:r>
      <w:r>
        <w:rPr>
          <w:rFonts w:hint="eastAsia" w:cs="Times New Roman"/>
          <w:color w:val="auto"/>
          <w:sz w:val="32"/>
          <w:szCs w:val="32"/>
          <w:lang w:eastAsia="zh-CN"/>
        </w:rPr>
        <w:t>，</w:t>
      </w:r>
      <w:r>
        <w:rPr>
          <w:rFonts w:hint="eastAsia" w:cs="Times New Roman"/>
          <w:color w:val="auto"/>
          <w:sz w:val="32"/>
          <w:szCs w:val="32"/>
          <w:lang w:val="en-US" w:eastAsia="zh-CN"/>
        </w:rPr>
        <w:t>指导全省登记机构开展公共数据资源登记标准化、规范化服务</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省级</w:t>
      </w:r>
      <w:r>
        <w:rPr>
          <w:rFonts w:hint="eastAsia" w:cs="Times New Roman"/>
          <w:color w:val="auto"/>
          <w:sz w:val="32"/>
          <w:szCs w:val="32"/>
          <w:lang w:eastAsia="zh-CN"/>
        </w:rPr>
        <w:t>数据管理部门</w:t>
      </w:r>
      <w:r>
        <w:rPr>
          <w:rFonts w:hint="default" w:ascii="Times New Roman" w:hAnsi="Times New Roman" w:eastAsia="仿宋_GB2312" w:cs="Times New Roman"/>
          <w:color w:val="auto"/>
          <w:sz w:val="32"/>
          <w:szCs w:val="32"/>
        </w:rPr>
        <w:t>指定</w:t>
      </w:r>
      <w:r>
        <w:rPr>
          <w:rFonts w:hint="default" w:ascii="Times New Roman" w:hAnsi="Times New Roman" w:cs="Times New Roman"/>
          <w:color w:val="auto"/>
          <w:sz w:val="32"/>
          <w:szCs w:val="32"/>
          <w:lang w:val="en-US" w:eastAsia="zh-CN"/>
        </w:rPr>
        <w:t>省数据中心</w:t>
      </w:r>
      <w:r>
        <w:rPr>
          <w:rFonts w:hint="default" w:ascii="Times New Roman" w:hAnsi="Times New Roman" w:eastAsia="仿宋_GB2312" w:cs="Times New Roman"/>
          <w:color w:val="auto"/>
          <w:sz w:val="32"/>
          <w:szCs w:val="32"/>
        </w:rPr>
        <w:t>为</w:t>
      </w:r>
      <w:r>
        <w:rPr>
          <w:rFonts w:hint="default" w:ascii="Times New Roman" w:hAnsi="Times New Roman" w:cs="Times New Roman"/>
          <w:color w:val="auto"/>
          <w:sz w:val="32"/>
          <w:szCs w:val="32"/>
          <w:lang w:val="en-US" w:eastAsia="zh-CN"/>
        </w:rPr>
        <w:t>省</w:t>
      </w:r>
      <w:r>
        <w:rPr>
          <w:rFonts w:hint="default" w:ascii="Times New Roman" w:hAnsi="Times New Roman" w:eastAsia="仿宋_GB2312" w:cs="Times New Roman"/>
          <w:color w:val="auto"/>
          <w:sz w:val="32"/>
          <w:szCs w:val="32"/>
        </w:rPr>
        <w:t>级登记机构，</w:t>
      </w:r>
      <w:r>
        <w:rPr>
          <w:rFonts w:hint="eastAsia" w:cs="Times New Roman"/>
          <w:color w:val="auto"/>
          <w:sz w:val="32"/>
          <w:szCs w:val="32"/>
          <w:lang w:val="en-US" w:eastAsia="zh-CN"/>
        </w:rPr>
        <w:t>落实国家公共数据资源登记工作要求，</w:t>
      </w:r>
      <w:r>
        <w:rPr>
          <w:rFonts w:hint="default" w:ascii="Times New Roman" w:hAnsi="Times New Roman" w:eastAsia="仿宋_GB2312" w:cs="Times New Roman"/>
          <w:color w:val="auto"/>
          <w:sz w:val="32"/>
          <w:szCs w:val="32"/>
        </w:rPr>
        <w:t>强化数据共享、应用服务和安全保障</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sz w:val="32"/>
          <w:szCs w:val="32"/>
          <w:lang w:val="en-US" w:eastAsia="zh-CN"/>
        </w:rPr>
        <w:t>市级</w:t>
      </w:r>
      <w:r>
        <w:rPr>
          <w:rFonts w:hint="eastAsia" w:cs="Times New Roman"/>
          <w:color w:val="auto"/>
          <w:sz w:val="32"/>
          <w:szCs w:val="32"/>
          <w:lang w:eastAsia="zh-CN"/>
        </w:rPr>
        <w:t>数据管理部门</w:t>
      </w:r>
      <w:r>
        <w:rPr>
          <w:rFonts w:hint="eastAsia" w:cs="Times New Roman"/>
          <w:color w:val="auto"/>
          <w:sz w:val="32"/>
          <w:szCs w:val="32"/>
          <w:lang w:val="en-US" w:eastAsia="zh-CN"/>
        </w:rPr>
        <w:t>统筹开展本辖区公共数据资源登记工作，指定或设立市级登记机构，</w:t>
      </w:r>
      <w:r>
        <w:rPr>
          <w:rFonts w:hint="default" w:ascii="Times New Roman" w:hAnsi="Times New Roman" w:cs="Times New Roman"/>
          <w:color w:val="auto"/>
        </w:rPr>
        <w:t>接受上级</w:t>
      </w:r>
      <w:r>
        <w:rPr>
          <w:rFonts w:hint="eastAsia" w:cs="Times New Roman"/>
          <w:color w:val="auto"/>
          <w:lang w:val="en-US" w:eastAsia="zh-CN"/>
        </w:rPr>
        <w:t>主管</w:t>
      </w:r>
      <w:r>
        <w:rPr>
          <w:rFonts w:hint="default" w:ascii="Times New Roman" w:hAnsi="Times New Roman" w:cs="Times New Roman"/>
          <w:color w:val="auto"/>
        </w:rPr>
        <w:t>部门</w:t>
      </w:r>
      <w:r>
        <w:rPr>
          <w:rFonts w:hint="eastAsia" w:cs="Times New Roman"/>
          <w:color w:val="auto"/>
          <w:lang w:val="en-US" w:eastAsia="zh-CN"/>
        </w:rPr>
        <w:t>的指导和</w:t>
      </w:r>
      <w:r>
        <w:rPr>
          <w:rFonts w:hint="default" w:ascii="Times New Roman" w:hAnsi="Times New Roman" w:cs="Times New Roman"/>
          <w:color w:val="auto"/>
        </w:rPr>
        <w:t>监督</w:t>
      </w:r>
      <w:r>
        <w:rPr>
          <w:rFonts w:hint="default" w:ascii="Times New Roman" w:hAnsi="Times New Roman" w:cs="Times New Roman"/>
          <w:color w:val="auto"/>
          <w:lang w:eastAsia="zh-CN"/>
        </w:rPr>
        <w:t>。</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eastAsia" w:eastAsia="楷体_GB2312" w:cs="Times New Roman"/>
          <w:b/>
          <w:bCs/>
          <w:color w:val="auto"/>
          <w:sz w:val="32"/>
          <w:szCs w:val="32"/>
          <w:highlight w:val="none"/>
          <w:lang w:val="en-US" w:eastAsia="zh-CN"/>
        </w:rPr>
        <w:t>【行业主管部门职责】</w:t>
      </w:r>
      <w:bookmarkStart w:id="0" w:name="_GoBack"/>
      <w:bookmarkEnd w:id="0"/>
    </w:p>
    <w:p>
      <w:pPr>
        <w:ind w:firstLine="640"/>
        <w:rPr>
          <w:rFonts w:hint="default" w:ascii="Times New Roman" w:hAnsi="Times New Roman" w:cs="Times New Roman"/>
          <w:color w:val="auto"/>
          <w:lang w:val="en-US" w:eastAsia="zh-CN"/>
        </w:rPr>
      </w:pPr>
      <w:r>
        <w:rPr>
          <w:rFonts w:hint="eastAsia" w:cs="Times New Roman"/>
          <w:color w:val="auto"/>
          <w:lang w:val="en-US" w:eastAsia="zh-CN"/>
        </w:rPr>
        <w:t>相关行业主管部门负责鼓励、指导</w:t>
      </w:r>
      <w:r>
        <w:rPr>
          <w:rFonts w:hint="default" w:ascii="Times New Roman" w:hAnsi="Times New Roman" w:cs="Times New Roman"/>
          <w:color w:val="auto"/>
          <w:lang w:val="en-US" w:eastAsia="zh-CN"/>
        </w:rPr>
        <w:t>供水、供气、供热、供电、公共交通等公用企业，</w:t>
      </w:r>
      <w:r>
        <w:rPr>
          <w:rFonts w:hint="eastAsia" w:cs="Times New Roman"/>
          <w:color w:val="auto"/>
          <w:lang w:val="en-US" w:eastAsia="zh-CN"/>
        </w:rPr>
        <w:t>对直接持有或管理的</w:t>
      </w:r>
      <w:r>
        <w:rPr>
          <w:rFonts w:hint="default" w:ascii="Times New Roman" w:hAnsi="Times New Roman" w:cs="Times New Roman"/>
          <w:color w:val="auto"/>
          <w:lang w:val="en-US" w:eastAsia="zh-CN"/>
        </w:rPr>
        <w:t>公共数据资源</w:t>
      </w:r>
      <w:r>
        <w:rPr>
          <w:rFonts w:hint="eastAsia" w:cs="Times New Roman"/>
          <w:color w:val="auto"/>
          <w:lang w:val="en-US" w:eastAsia="zh-CN"/>
        </w:rPr>
        <w:t>及形成的产品和服务</w:t>
      </w:r>
      <w:r>
        <w:rPr>
          <w:rFonts w:hint="default" w:ascii="Times New Roman" w:hAnsi="Times New Roman" w:cs="Times New Roman"/>
          <w:color w:val="auto"/>
          <w:lang w:val="en-US" w:eastAsia="zh-CN"/>
        </w:rPr>
        <w:t>进行登记。</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【登记机构</w:t>
      </w:r>
      <w:r>
        <w:rPr>
          <w:rFonts w:hint="eastAsia" w:eastAsia="楷体_GB2312" w:cs="Times New Roman"/>
          <w:b/>
          <w:bCs/>
          <w:color w:val="auto"/>
          <w:sz w:val="32"/>
          <w:szCs w:val="32"/>
          <w:highlight w:val="none"/>
          <w:lang w:val="en-US" w:eastAsia="zh-CN"/>
        </w:rPr>
        <w:t>职责</w:t>
      </w:r>
      <w:r>
        <w:rPr>
          <w:rFonts w:hint="default" w:ascii="Times New Roman" w:hAnsi="Times New Roman" w:eastAsia="楷体_GB2312" w:cs="Times New Roman"/>
          <w:b/>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登记机构履行以下职责：</w:t>
      </w:r>
    </w:p>
    <w:p>
      <w:pPr>
        <w:ind w:firstLine="64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一</w:t>
      </w:r>
      <w:r>
        <w:rPr>
          <w:rFonts w:hint="default" w:ascii="Times New Roman" w:hAnsi="Times New Roman" w:cs="Times New Roman"/>
          <w:color w:val="auto"/>
          <w:lang w:eastAsia="zh-CN"/>
        </w:rPr>
        <w:t>）</w:t>
      </w:r>
      <w:r>
        <w:rPr>
          <w:rFonts w:hint="default" w:ascii="Times New Roman" w:hAnsi="Times New Roman" w:cs="Times New Roman"/>
          <w:color w:val="auto"/>
        </w:rPr>
        <w:t>实施公共数据资源登记，执行全国统一的登记管理要求，按照行政层级和属地原则提供规范化、标准化、便利化登记服务，制定并执行数据登记、异议处理、凭证管理等业务规则；</w:t>
      </w:r>
    </w:p>
    <w:p>
      <w:pPr>
        <w:ind w:firstLine="640"/>
        <w:rPr>
          <w:rFonts w:hint="default" w:ascii="Times New Roman" w:hAnsi="Times New Roman" w:cs="Times New Roman"/>
          <w:color w:val="auto"/>
        </w:rPr>
      </w:pP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val="en-US" w:eastAsia="zh-CN"/>
        </w:rPr>
        <w:t>二</w:t>
      </w:r>
      <w:r>
        <w:rPr>
          <w:rFonts w:hint="default" w:ascii="Times New Roman" w:hAnsi="Times New Roman" w:eastAsia="仿宋_GB2312" w:cs="Times New Roman"/>
          <w:color w:val="auto"/>
          <w:sz w:val="32"/>
          <w:szCs w:val="32"/>
        </w:rPr>
        <w:t>）建立健全数据资源登记管理责任机制，履行数据安全保护义务，</w:t>
      </w:r>
      <w:r>
        <w:rPr>
          <w:rFonts w:hint="eastAsia" w:cs="Times New Roman"/>
          <w:color w:val="auto"/>
          <w:sz w:val="32"/>
          <w:szCs w:val="32"/>
          <w:lang w:val="en-US" w:eastAsia="zh-CN"/>
        </w:rPr>
        <w:t>强化数据安全保护技术应用，</w:t>
      </w:r>
      <w:r>
        <w:rPr>
          <w:rFonts w:hint="default" w:ascii="Times New Roman" w:hAnsi="Times New Roman" w:eastAsia="仿宋_GB2312" w:cs="Times New Roman"/>
          <w:color w:val="auto"/>
          <w:sz w:val="32"/>
          <w:szCs w:val="32"/>
        </w:rPr>
        <w:t>妥善保管登记信息；</w:t>
      </w:r>
    </w:p>
    <w:p>
      <w:pPr>
        <w:ind w:firstLine="640"/>
        <w:rPr>
          <w:rFonts w:hint="eastAsia" w:ascii="Times New Roman" w:hAnsi="Times New Roman" w:eastAsia="仿宋_GB2312" w:cs="Times New Roman"/>
          <w:color w:val="auto"/>
          <w:lang w:val="en-US" w:eastAsia="zh-CN"/>
        </w:rPr>
      </w:pPr>
      <w:r>
        <w:rPr>
          <w:rFonts w:hint="default" w:ascii="Times New Roman" w:hAnsi="Times New Roman" w:cs="Times New Roman"/>
          <w:color w:val="auto"/>
        </w:rPr>
        <w:t>（</w:t>
      </w:r>
      <w:r>
        <w:rPr>
          <w:rFonts w:hint="default" w:ascii="Times New Roman" w:hAnsi="Times New Roman" w:cs="Times New Roman"/>
          <w:color w:val="auto"/>
          <w:lang w:val="en-US" w:eastAsia="zh-CN"/>
        </w:rPr>
        <w:t>三</w:t>
      </w:r>
      <w:r>
        <w:rPr>
          <w:rFonts w:hint="default" w:ascii="Times New Roman" w:hAnsi="Times New Roman" w:cs="Times New Roman"/>
          <w:color w:val="auto"/>
        </w:rPr>
        <w:t>）提供公共数据资源登记申请、受理、</w:t>
      </w:r>
      <w:r>
        <w:rPr>
          <w:rFonts w:hint="eastAsia" w:cs="Times New Roman"/>
          <w:color w:val="auto"/>
          <w:highlight w:val="none"/>
          <w:lang w:val="en-US" w:eastAsia="zh-CN"/>
        </w:rPr>
        <w:t>形式审核</w:t>
      </w:r>
      <w:r>
        <w:rPr>
          <w:rFonts w:hint="default" w:ascii="Times New Roman" w:hAnsi="Times New Roman" w:cs="Times New Roman"/>
          <w:color w:val="auto"/>
        </w:rPr>
        <w:t>、公示、</w:t>
      </w:r>
      <w:r>
        <w:rPr>
          <w:rFonts w:hint="eastAsia" w:cs="Times New Roman"/>
          <w:color w:val="auto"/>
          <w:lang w:val="en-US" w:eastAsia="zh-CN"/>
        </w:rPr>
        <w:t>赋码</w:t>
      </w:r>
      <w:r>
        <w:rPr>
          <w:rFonts w:hint="default" w:ascii="Times New Roman" w:hAnsi="Times New Roman" w:cs="Times New Roman"/>
          <w:color w:val="auto"/>
        </w:rPr>
        <w:t>等服务；</w:t>
      </w:r>
    </w:p>
    <w:p>
      <w:pPr>
        <w:ind w:firstLine="64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四</w:t>
      </w:r>
      <w:r>
        <w:rPr>
          <w:rFonts w:hint="default" w:ascii="Times New Roman" w:hAnsi="Times New Roman" w:cs="Times New Roman"/>
          <w:color w:val="auto"/>
        </w:rPr>
        <w:t>）提供与公共数据资源登记业务有关的登记结果查询、咨询服务等；</w:t>
      </w:r>
    </w:p>
    <w:p>
      <w:pPr>
        <w:ind w:firstLine="64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五</w:t>
      </w:r>
      <w:r>
        <w:rPr>
          <w:rFonts w:hint="default" w:ascii="Times New Roman" w:hAnsi="Times New Roman" w:cs="Times New Roman"/>
          <w:color w:val="auto"/>
        </w:rPr>
        <w:t>）处置公共数据资源登记的异议问题；</w:t>
      </w:r>
    </w:p>
    <w:p>
      <w:pPr>
        <w:ind w:firstLine="640"/>
        <w:rPr>
          <w:rFonts w:hint="default" w:ascii="Times New Roman" w:hAnsi="Times New Roman" w:eastAsia="仿宋_GB2312"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六</w:t>
      </w:r>
      <w:r>
        <w:rPr>
          <w:rFonts w:hint="default" w:ascii="Times New Roman" w:hAnsi="Times New Roman" w:cs="Times New Roman"/>
          <w:color w:val="auto"/>
          <w:lang w:eastAsia="zh-CN"/>
        </w:rPr>
        <w:t>）</w:t>
      </w:r>
      <w:r>
        <w:rPr>
          <w:rFonts w:hint="default" w:ascii="Times New Roman" w:hAnsi="Times New Roman" w:cs="Times New Roman"/>
          <w:color w:val="auto"/>
        </w:rPr>
        <w:t>运营和维护登记平台，为公共数据资源登记提供保障</w:t>
      </w:r>
      <w:r>
        <w:rPr>
          <w:rFonts w:hint="eastAsia"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cs="Times New Roman"/>
          <w:color w:val="auto"/>
          <w:sz w:val="32"/>
          <w:szCs w:val="32"/>
          <w:lang w:eastAsia="zh-CN"/>
        </w:rPr>
        <w:t>（</w:t>
      </w:r>
      <w:r>
        <w:rPr>
          <w:rFonts w:hint="eastAsia" w:cs="Times New Roman"/>
          <w:color w:val="auto"/>
          <w:sz w:val="32"/>
          <w:szCs w:val="32"/>
          <w:lang w:val="en-US" w:eastAsia="zh-CN"/>
        </w:rPr>
        <w:t>七</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经同级</w:t>
      </w:r>
      <w:r>
        <w:rPr>
          <w:rFonts w:hint="eastAsia" w:cs="Times New Roman"/>
          <w:color w:val="auto"/>
          <w:sz w:val="32"/>
          <w:szCs w:val="32"/>
          <w:lang w:eastAsia="zh-CN"/>
        </w:rPr>
        <w:t>数据管理部门</w:t>
      </w:r>
      <w:r>
        <w:rPr>
          <w:rFonts w:hint="default" w:ascii="Times New Roman" w:hAnsi="Times New Roman" w:eastAsia="仿宋_GB2312" w:cs="Times New Roman"/>
          <w:color w:val="auto"/>
          <w:sz w:val="32"/>
          <w:szCs w:val="32"/>
        </w:rPr>
        <w:t>批准开展的其他相关业务</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eastAsia" w:cs="Times New Roman"/>
          <w:color w:val="auto"/>
          <w:sz w:val="32"/>
          <w:szCs w:val="32"/>
          <w:lang w:val="en-US" w:eastAsia="zh-CN"/>
        </w:rPr>
        <w:t>八</w:t>
      </w:r>
      <w:r>
        <w:rPr>
          <w:rFonts w:hint="default" w:ascii="Times New Roman" w:hAnsi="Times New Roman" w:eastAsia="仿宋_GB2312" w:cs="Times New Roman"/>
          <w:color w:val="auto"/>
          <w:sz w:val="32"/>
          <w:szCs w:val="32"/>
        </w:rPr>
        <w:t>）</w:t>
      </w:r>
      <w:r>
        <w:rPr>
          <w:rFonts w:hint="eastAsia" w:cs="Times New Roman"/>
          <w:color w:val="auto"/>
          <w:lang w:val="en-US" w:eastAsia="zh-CN"/>
        </w:rPr>
        <w:t>省级登记机构重点</w:t>
      </w:r>
      <w:r>
        <w:rPr>
          <w:rFonts w:hint="eastAsia" w:cs="Times New Roman"/>
          <w:color w:val="auto"/>
          <w:sz w:val="32"/>
          <w:szCs w:val="32"/>
          <w:lang w:val="en-US" w:eastAsia="zh-CN"/>
        </w:rPr>
        <w:t>负责省直机关及其直属机构、省属企事业单位的公共数据资源登记工作</w:t>
      </w:r>
      <w:r>
        <w:rPr>
          <w:rFonts w:hint="eastAsia" w:cs="Times New Roman"/>
          <w:color w:val="auto"/>
          <w:lang w:val="en-US" w:eastAsia="zh-CN"/>
        </w:rPr>
        <w:t>，并对市级登记机构进行备案管理，提供必要的技术指导和业务培训</w:t>
      </w:r>
      <w:r>
        <w:rPr>
          <w:rFonts w:hint="default" w:ascii="Times New Roman" w:hAnsi="Times New Roman" w:eastAsia="仿宋_GB2312" w:cs="Times New Roman"/>
          <w:color w:val="auto"/>
          <w:sz w:val="32"/>
          <w:szCs w:val="32"/>
        </w:rPr>
        <w:t>。</w:t>
      </w:r>
    </w:p>
    <w:p>
      <w:pPr>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32"/>
          <w:szCs w:val="32"/>
          <w:highlight w:val="none"/>
          <w:lang w:val="en-US" w:eastAsia="zh-CN"/>
        </w:rPr>
      </w:pPr>
    </w:p>
    <w:p>
      <w:pPr>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登记要求</w:t>
      </w:r>
      <w:r>
        <w:rPr>
          <w:rFonts w:hint="eastAsia" w:eastAsia="黑体" w:cs="Times New Roman"/>
          <w:color w:val="auto"/>
          <w:sz w:val="32"/>
          <w:szCs w:val="32"/>
          <w:highlight w:val="none"/>
          <w:lang w:val="en-US" w:eastAsia="zh-CN"/>
        </w:rPr>
        <w:t>与管理</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【登记</w:t>
      </w:r>
      <w:r>
        <w:rPr>
          <w:rFonts w:hint="default" w:ascii="Times New Roman" w:hAnsi="Times New Roman" w:eastAsia="楷体_GB2312" w:cs="Times New Roman"/>
          <w:b/>
          <w:bCs/>
          <w:color w:val="auto"/>
          <w:sz w:val="32"/>
          <w:szCs w:val="32"/>
          <w:highlight w:val="none"/>
          <w:shd w:val="clear" w:color="auto" w:fill="auto"/>
          <w:lang w:val="en-US" w:eastAsia="zh-CN"/>
        </w:rPr>
        <w:t>范围</w:t>
      </w:r>
      <w:r>
        <w:rPr>
          <w:rFonts w:hint="default" w:ascii="Times New Roman" w:hAnsi="Times New Roman" w:eastAsia="楷体_GB2312" w:cs="Times New Roman"/>
          <w:b/>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党政机关、事业单位及公用企业对直接</w:t>
      </w:r>
      <w:r>
        <w:rPr>
          <w:rFonts w:hint="default" w:ascii="Times New Roman" w:hAnsi="Times New Roman" w:eastAsia="仿宋_GB2312" w:cs="Times New Roman"/>
          <w:color w:val="auto"/>
          <w:sz w:val="32"/>
          <w:szCs w:val="32"/>
        </w:rPr>
        <w:t>持有</w:t>
      </w:r>
      <w:r>
        <w:rPr>
          <w:rFonts w:hint="eastAsia" w:cs="Times New Roman"/>
          <w:color w:val="auto"/>
          <w:sz w:val="32"/>
          <w:szCs w:val="32"/>
          <w:lang w:val="en-US" w:eastAsia="zh-CN"/>
        </w:rPr>
        <w:t>或管理的</w:t>
      </w:r>
      <w:r>
        <w:rPr>
          <w:rFonts w:hint="default" w:ascii="Times New Roman" w:hAnsi="Times New Roman" w:eastAsia="仿宋_GB2312" w:cs="Times New Roman"/>
          <w:color w:val="auto"/>
          <w:sz w:val="32"/>
          <w:szCs w:val="32"/>
        </w:rPr>
        <w:t>公共数据资源进行登记，作为共享、开放、授权运营等公共数据开发利用工作管理基础。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鼓励经授权开展运营活动的法人组织，对利用被授权的公共数据资源加工形成的数据产品和服务进行登记。</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【登记机构】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
        </w:rPr>
        <w:t>登记机构</w:t>
      </w:r>
      <w:r>
        <w:rPr>
          <w:rFonts w:hint="default" w:ascii="Times New Roman" w:hAnsi="Times New Roman" w:eastAsia="仿宋_GB2312" w:cs="Times New Roman"/>
          <w:color w:val="auto"/>
          <w:sz w:val="32"/>
          <w:szCs w:val="32"/>
        </w:rPr>
        <w:t>应</w:t>
      </w:r>
      <w:r>
        <w:rPr>
          <w:rFonts w:hint="default" w:ascii="Times New Roman" w:hAnsi="Times New Roman" w:eastAsia="仿宋_GB2312" w:cs="Times New Roman"/>
          <w:color w:val="auto"/>
          <w:sz w:val="32"/>
          <w:szCs w:val="32"/>
          <w:lang w:eastAsia="zh"/>
        </w:rPr>
        <w:t>按照全国统一的登记</w:t>
      </w:r>
      <w:r>
        <w:rPr>
          <w:rFonts w:hint="eastAsia" w:cs="Times New Roman"/>
          <w:color w:val="auto"/>
          <w:sz w:val="32"/>
          <w:szCs w:val="32"/>
          <w:lang w:val="en-US" w:eastAsia="zh-CN"/>
        </w:rPr>
        <w:t>管理</w:t>
      </w:r>
      <w:r>
        <w:rPr>
          <w:rFonts w:hint="default" w:ascii="Times New Roman" w:hAnsi="Times New Roman" w:eastAsia="仿宋_GB2312" w:cs="Times New Roman"/>
          <w:color w:val="auto"/>
          <w:sz w:val="32"/>
          <w:szCs w:val="32"/>
          <w:lang w:eastAsia="zh"/>
        </w:rPr>
        <w:t>要求，优化服务流程，提升登记便利化服务水平，</w:t>
      </w:r>
      <w:r>
        <w:rPr>
          <w:rFonts w:hint="default" w:ascii="Times New Roman" w:hAnsi="Times New Roman" w:eastAsia="仿宋_GB2312" w:cs="Times New Roman"/>
          <w:color w:val="auto"/>
          <w:sz w:val="32"/>
          <w:szCs w:val="32"/>
        </w:rPr>
        <w:t>非按规定程序不得将登记信息或由登记信息统计、分析形成的有关信息对外披露或提供。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登记机构无偿提供登记服务，登记工作产生费用纳入同级财政予以保障。</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【登记主体】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主体经业务审核后，通过登记平台提出登记申请，如实准确提供登记材料，并对登记材料内容的真实性、完整性、合法性、有效性负责。涉及多个主体的，可共同提出登记申请或协商一致后由单独主体提出登记申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登记主体在申请登记前应在保障安全的前提下对公共数据资源进行存证，确保来源可查、加工可控。</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【登记平台】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登记平台是本</w:t>
      </w:r>
      <w:r>
        <w:rPr>
          <w:rFonts w:hint="default" w:ascii="Times New Roman" w:hAnsi="Times New Roman" w:cs="Times New Roman"/>
          <w:color w:val="auto"/>
          <w:sz w:val="32"/>
          <w:szCs w:val="32"/>
          <w:lang w:val="en-US" w:eastAsia="zh-CN"/>
        </w:rPr>
        <w:t>省</w:t>
      </w:r>
      <w:r>
        <w:rPr>
          <w:rFonts w:hint="default" w:ascii="Times New Roman" w:hAnsi="Times New Roman" w:eastAsia="仿宋_GB2312" w:cs="Times New Roman"/>
          <w:color w:val="auto"/>
          <w:sz w:val="32"/>
          <w:szCs w:val="32"/>
        </w:rPr>
        <w:t>公共数据资源登记申请、受理、</w:t>
      </w:r>
      <w:r>
        <w:rPr>
          <w:rFonts w:hint="eastAsia" w:cs="Times New Roman"/>
          <w:color w:val="auto"/>
          <w:sz w:val="32"/>
          <w:szCs w:val="32"/>
          <w:lang w:val="en-US" w:eastAsia="zh-CN"/>
        </w:rPr>
        <w:t>形式审核</w:t>
      </w:r>
      <w:r>
        <w:rPr>
          <w:rFonts w:hint="default" w:ascii="Times New Roman" w:hAnsi="Times New Roman" w:eastAsia="仿宋_GB2312" w:cs="Times New Roman"/>
          <w:color w:val="auto"/>
          <w:sz w:val="32"/>
          <w:szCs w:val="32"/>
        </w:rPr>
        <w:t>、公示、公告、</w:t>
      </w:r>
      <w:r>
        <w:rPr>
          <w:rFonts w:hint="eastAsia" w:cs="Times New Roman"/>
          <w:color w:val="auto"/>
          <w:sz w:val="32"/>
          <w:szCs w:val="32"/>
          <w:lang w:val="en-US" w:eastAsia="zh-CN"/>
        </w:rPr>
        <w:t>赋码</w:t>
      </w:r>
      <w:r>
        <w:rPr>
          <w:rFonts w:hint="default" w:ascii="Times New Roman" w:hAnsi="Times New Roman" w:eastAsia="仿宋_GB2312" w:cs="Times New Roman"/>
          <w:color w:val="auto"/>
          <w:sz w:val="32"/>
          <w:szCs w:val="32"/>
        </w:rPr>
        <w:t>、信息查询、异议反馈等服务的统一入口。登记平台与国家公共数据资源登记平台对接，</w:t>
      </w:r>
      <w:r>
        <w:rPr>
          <w:rFonts w:hint="eastAsia" w:cs="Times New Roman"/>
          <w:color w:val="auto"/>
          <w:sz w:val="32"/>
          <w:szCs w:val="32"/>
          <w:lang w:val="en-US" w:eastAsia="zh-CN"/>
        </w:rPr>
        <w:t>推动</w:t>
      </w:r>
      <w:r>
        <w:rPr>
          <w:rFonts w:hint="default" w:ascii="Times New Roman" w:hAnsi="Times New Roman" w:eastAsia="仿宋_GB2312" w:cs="Times New Roman"/>
          <w:color w:val="auto"/>
          <w:sz w:val="32"/>
          <w:szCs w:val="32"/>
        </w:rPr>
        <w:t>登记信息互联互通</w:t>
      </w:r>
      <w:r>
        <w:rPr>
          <w:rFonts w:hint="eastAsia" w:cs="Times New Roman"/>
          <w:color w:val="auto"/>
          <w:sz w:val="32"/>
          <w:szCs w:val="32"/>
          <w:lang w:eastAsia="zh-CN"/>
        </w:rPr>
        <w:t>，</w:t>
      </w:r>
      <w:r>
        <w:rPr>
          <w:rFonts w:hint="eastAsia" w:cs="Times New Roman"/>
          <w:color w:val="auto"/>
          <w:sz w:val="32"/>
          <w:szCs w:val="32"/>
          <w:lang w:val="en-US" w:eastAsia="zh-CN"/>
        </w:rPr>
        <w:t>按照国家统一编码要求，在全省范围内实现登记结果统一赋码，</w:t>
      </w:r>
      <w:r>
        <w:rPr>
          <w:rFonts w:hint="default" w:ascii="Times New Roman" w:hAnsi="Times New Roman" w:eastAsia="仿宋_GB2312" w:cs="Times New Roman"/>
          <w:color w:val="auto"/>
          <w:sz w:val="32"/>
          <w:szCs w:val="32"/>
        </w:rPr>
        <w:t>支撑登记信息</w:t>
      </w:r>
      <w:r>
        <w:rPr>
          <w:rFonts w:hint="eastAsia" w:cs="Times New Roman"/>
          <w:color w:val="auto"/>
          <w:sz w:val="32"/>
          <w:szCs w:val="32"/>
          <w:lang w:eastAsia="zh-CN"/>
        </w:rPr>
        <w:t>的</w:t>
      </w:r>
      <w:r>
        <w:rPr>
          <w:rFonts w:hint="default" w:ascii="Times New Roman" w:hAnsi="Times New Roman" w:eastAsia="仿宋_GB2312" w:cs="Times New Roman"/>
          <w:color w:val="auto"/>
          <w:sz w:val="32"/>
          <w:szCs w:val="32"/>
        </w:rPr>
        <w:t>查询和共享。</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eastAsia" w:eastAsia="楷体_GB2312" w:cs="Times New Roman"/>
          <w:b/>
          <w:bCs/>
          <w:color w:val="auto"/>
          <w:sz w:val="32"/>
          <w:szCs w:val="32"/>
          <w:highlight w:val="none"/>
          <w:lang w:val="en-US" w:eastAsia="zh-CN"/>
        </w:rPr>
        <w:t>【账户管理】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登记账户由登记主体通过登记平台申请，登记机构应对登记账户进行实名认证，并做好登记信息的管理和维护工作。</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w:t>
      </w:r>
      <w:r>
        <w:rPr>
          <w:rFonts w:hint="eastAsia" w:eastAsia="楷体_GB2312" w:cs="Times New Roman"/>
          <w:b/>
          <w:bCs/>
          <w:color w:val="auto"/>
          <w:sz w:val="32"/>
          <w:szCs w:val="32"/>
          <w:highlight w:val="none"/>
          <w:lang w:val="en-US" w:eastAsia="zh-CN"/>
        </w:rPr>
        <w:t>登记结果</w:t>
      </w:r>
      <w:r>
        <w:rPr>
          <w:rFonts w:hint="default" w:ascii="Times New Roman" w:hAnsi="Times New Roman" w:eastAsia="楷体_GB2312" w:cs="Times New Roman"/>
          <w:b/>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cs="Times New Roman"/>
          <w:color w:val="auto"/>
          <w:sz w:val="32"/>
          <w:szCs w:val="32"/>
          <w:lang w:val="en-US" w:eastAsia="zh-CN"/>
        </w:rPr>
      </w:pPr>
      <w:r>
        <w:rPr>
          <w:rFonts w:hint="eastAsia" w:cs="Times New Roman"/>
          <w:color w:val="auto"/>
          <w:sz w:val="32"/>
          <w:szCs w:val="32"/>
          <w:lang w:val="en-US" w:eastAsia="zh-CN"/>
        </w:rPr>
        <w:t>登记结果查询码由登记机构按照国家数据局制定的统一编码规范向登记主体发放，任何单位和个人不得伪造、出卖或者出借。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登记结果有效期</w:t>
      </w:r>
      <w:r>
        <w:rPr>
          <w:rFonts w:hint="default" w:ascii="Times New Roman" w:hAnsi="Times New Roman" w:eastAsia="仿宋_GB2312" w:cs="Times New Roman"/>
          <w:color w:val="auto"/>
          <w:sz w:val="32"/>
          <w:szCs w:val="32"/>
        </w:rPr>
        <w:t>原则上</w:t>
      </w:r>
      <w:r>
        <w:rPr>
          <w:rFonts w:hint="eastAsia" w:cs="Times New Roman"/>
          <w:color w:val="auto"/>
          <w:sz w:val="32"/>
          <w:szCs w:val="32"/>
          <w:lang w:val="en-US" w:eastAsia="zh-CN"/>
        </w:rPr>
        <w:t>为</w:t>
      </w:r>
      <w:r>
        <w:rPr>
          <w:rFonts w:hint="default" w:ascii="Times New Roman" w:hAnsi="Times New Roman" w:eastAsia="仿宋_GB2312" w:cs="Times New Roman"/>
          <w:color w:val="auto"/>
          <w:sz w:val="32"/>
          <w:szCs w:val="32"/>
        </w:rPr>
        <w:t>三年，自</w:t>
      </w:r>
      <w:r>
        <w:rPr>
          <w:rFonts w:hint="eastAsia" w:cs="Times New Roman"/>
          <w:color w:val="auto"/>
          <w:sz w:val="32"/>
          <w:szCs w:val="32"/>
          <w:lang w:val="en-US" w:eastAsia="zh-CN"/>
        </w:rPr>
        <w:t>赋码</w:t>
      </w:r>
      <w:r>
        <w:rPr>
          <w:rFonts w:hint="default" w:ascii="Times New Roman" w:hAnsi="Times New Roman" w:eastAsia="仿宋_GB2312" w:cs="Times New Roman"/>
          <w:color w:val="auto"/>
          <w:sz w:val="32"/>
          <w:szCs w:val="32"/>
        </w:rPr>
        <w:t>之日起计算。</w:t>
      </w:r>
      <w:r>
        <w:rPr>
          <w:rFonts w:hint="eastAsia" w:cs="Times New Roman"/>
          <w:color w:val="auto"/>
          <w:sz w:val="32"/>
          <w:szCs w:val="32"/>
          <w:lang w:val="en-US" w:eastAsia="zh-CN"/>
        </w:rPr>
        <w:t>对授权运营范围内的公共数据产品和服务登记，根据授权协议运营期限不超过三年的，登记结果有效期以实际运营期限为准。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z w:val="32"/>
          <w:szCs w:val="32"/>
          <w:lang w:val="en-US" w:eastAsia="zh-CN"/>
        </w:rPr>
      </w:pPr>
      <w:r>
        <w:rPr>
          <w:rFonts w:hint="eastAsia" w:cs="Times New Roman"/>
          <w:color w:val="auto"/>
          <w:sz w:val="32"/>
          <w:szCs w:val="32"/>
          <w:lang w:val="en-US" w:eastAsia="zh-CN"/>
        </w:rPr>
        <w:t>登记结果</w:t>
      </w:r>
      <w:r>
        <w:rPr>
          <w:rFonts w:hint="default" w:ascii="Times New Roman" w:hAnsi="Times New Roman" w:cs="Times New Roman"/>
          <w:color w:val="auto"/>
          <w:sz w:val="32"/>
          <w:szCs w:val="32"/>
          <w:lang w:val="en-US" w:eastAsia="zh-CN"/>
        </w:rPr>
        <w:t>有效期届满的，登记主体应该在期满前60日内按照规定续展。每次续展期最长为三年，自上一届有效期满次日起计算。期满未按规定续展的，由登记机构予以注销</w:t>
      </w:r>
      <w:r>
        <w:rPr>
          <w:rFonts w:hint="eastAsia" w:cs="Times New Roman"/>
          <w:color w:val="auto"/>
          <w:sz w:val="32"/>
          <w:szCs w:val="32"/>
          <w:lang w:val="en-US" w:eastAsia="zh-CN"/>
        </w:rPr>
        <w:t>。</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【登记信息与目录】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登记机构应完整、准确、清晰地记载各类登记事项信息，形成公共数据资源登记目录，</w:t>
      </w:r>
      <w:r>
        <w:rPr>
          <w:rFonts w:hint="default" w:ascii="Times New Roman" w:hAnsi="Times New Roman" w:cs="Times New Roman"/>
          <w:color w:val="auto"/>
          <w:sz w:val="32"/>
          <w:szCs w:val="32"/>
          <w:lang w:val="en-US" w:eastAsia="zh-CN"/>
        </w:rPr>
        <w:t>定期备份公共数据资源登记信息，</w:t>
      </w:r>
      <w:r>
        <w:rPr>
          <w:rFonts w:hint="default" w:ascii="Times New Roman" w:hAnsi="Times New Roman" w:eastAsia="仿宋_GB2312" w:cs="Times New Roman"/>
          <w:color w:val="auto"/>
          <w:sz w:val="32"/>
          <w:szCs w:val="32"/>
        </w:rPr>
        <w:t>除按规定程序更正、变更外，不得擅自修改登记事项。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登记机构应加强公共数据资源登记目录与政务数据目录关联，依托已有目录基础，探索便捷化登记方式。</w:t>
      </w:r>
    </w:p>
    <w:p>
      <w:pPr>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val="en-US" w:eastAsia="zh-CN"/>
        </w:rPr>
      </w:pPr>
    </w:p>
    <w:p>
      <w:pPr>
        <w:keepNext/>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登记程序</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全</w:t>
      </w:r>
      <w:r>
        <w:rPr>
          <w:rFonts w:hint="default" w:ascii="Times New Roman" w:hAnsi="Times New Roman" w:cs="Times New Roman"/>
          <w:color w:val="auto"/>
          <w:sz w:val="32"/>
          <w:szCs w:val="32"/>
          <w:lang w:val="en-US" w:eastAsia="zh-CN"/>
        </w:rPr>
        <w:t>省</w:t>
      </w:r>
      <w:r>
        <w:rPr>
          <w:rFonts w:hint="default" w:ascii="Times New Roman" w:hAnsi="Times New Roman" w:eastAsia="仿宋_GB2312" w:cs="Times New Roman"/>
          <w:color w:val="auto"/>
          <w:sz w:val="32"/>
          <w:szCs w:val="32"/>
        </w:rPr>
        <w:t>公共数据资源登记类型包括首次登记、变更登记、更正登记、注销登记，按照申请、受理、</w:t>
      </w:r>
      <w:r>
        <w:rPr>
          <w:rFonts w:hint="eastAsia" w:cs="Times New Roman"/>
          <w:color w:val="auto"/>
          <w:sz w:val="32"/>
          <w:szCs w:val="32"/>
          <w:lang w:val="en-US" w:eastAsia="zh-CN"/>
        </w:rPr>
        <w:t>形式审核</w:t>
      </w:r>
      <w:r>
        <w:rPr>
          <w:rFonts w:hint="default" w:ascii="Times New Roman" w:hAnsi="Times New Roman" w:eastAsia="仿宋_GB2312" w:cs="Times New Roman"/>
          <w:color w:val="auto"/>
          <w:sz w:val="32"/>
          <w:szCs w:val="32"/>
        </w:rPr>
        <w:t>、公示、</w:t>
      </w:r>
      <w:r>
        <w:rPr>
          <w:rFonts w:hint="eastAsia" w:cs="Times New Roman"/>
          <w:color w:val="auto"/>
          <w:sz w:val="32"/>
          <w:szCs w:val="32"/>
          <w:lang w:val="en-US" w:eastAsia="zh-CN"/>
        </w:rPr>
        <w:t>赋码</w:t>
      </w:r>
      <w:r>
        <w:rPr>
          <w:rFonts w:hint="default" w:ascii="Times New Roman" w:hAnsi="Times New Roman" w:eastAsia="仿宋_GB2312" w:cs="Times New Roman"/>
          <w:color w:val="auto"/>
          <w:sz w:val="32"/>
          <w:szCs w:val="32"/>
        </w:rPr>
        <w:t>等程序开展，具体按照《公共数据资源登记管理暂行办法》有关规定执行。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cs="Times New Roman"/>
          <w:color w:val="auto"/>
          <w:sz w:val="32"/>
          <w:szCs w:val="32"/>
          <w:highlight w:val="none"/>
          <w:lang w:val="en-US" w:eastAsia="zh-CN"/>
        </w:rPr>
        <w:t>登记数据名称对照数据资源所属国民经济行业大类，明确覆盖地域范围，突出数据特征。</w:t>
      </w:r>
    </w:p>
    <w:p>
      <w:pPr>
        <w:keepNext/>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【登记申请与受理】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color w:val="auto"/>
          <w:sz w:val="32"/>
          <w:szCs w:val="32"/>
          <w:lang w:val="en-US" w:eastAsia="zh-CN"/>
        </w:rPr>
      </w:pPr>
      <w:r>
        <w:rPr>
          <w:rFonts w:hint="default" w:ascii="Times New Roman" w:hAnsi="Times New Roman" w:eastAsia="仿宋_GB2312" w:cs="Times New Roman"/>
          <w:color w:val="auto"/>
          <w:sz w:val="32"/>
          <w:szCs w:val="32"/>
        </w:rPr>
        <w:t>登记主体</w:t>
      </w:r>
      <w:r>
        <w:rPr>
          <w:rFonts w:hint="eastAsia" w:cs="Times New Roman"/>
          <w:color w:val="auto"/>
          <w:sz w:val="32"/>
          <w:szCs w:val="32"/>
          <w:lang w:val="en-US" w:eastAsia="zh-CN"/>
        </w:rPr>
        <w:t>应根据登记类型</w:t>
      </w:r>
      <w:r>
        <w:rPr>
          <w:rFonts w:hint="default" w:ascii="Times New Roman" w:hAnsi="Times New Roman" w:eastAsia="仿宋_GB2312" w:cs="Times New Roman"/>
          <w:color w:val="auto"/>
          <w:sz w:val="32"/>
          <w:szCs w:val="32"/>
        </w:rPr>
        <w:t>提出登记申请</w:t>
      </w:r>
      <w:r>
        <w:rPr>
          <w:rFonts w:hint="eastAsia" w:cs="Times New Roman"/>
          <w:color w:val="auto"/>
          <w:sz w:val="32"/>
          <w:szCs w:val="32"/>
          <w:lang w:eastAsia="zh-CN"/>
        </w:rPr>
        <w:t>，</w:t>
      </w:r>
      <w:r>
        <w:rPr>
          <w:rFonts w:hint="eastAsia" w:cs="Times New Roman"/>
          <w:color w:val="auto"/>
          <w:sz w:val="32"/>
          <w:szCs w:val="32"/>
          <w:lang w:val="en-US" w:eastAsia="zh-CN"/>
        </w:rPr>
        <w:t>提交相应材料</w:t>
      </w:r>
      <w:r>
        <w:rPr>
          <w:rFonts w:hint="default" w:ascii="Times New Roman" w:hAnsi="Times New Roman" w:eastAsia="仿宋_GB2312" w:cs="Times New Roman"/>
          <w:color w:val="auto"/>
          <w:sz w:val="32"/>
          <w:szCs w:val="32"/>
        </w:rPr>
        <w:t>。</w:t>
      </w:r>
      <w:r>
        <w:rPr>
          <w:rFonts w:hint="eastAsia" w:cs="Times New Roman"/>
          <w:color w:val="auto"/>
          <w:sz w:val="32"/>
          <w:szCs w:val="32"/>
          <w:lang w:val="en-US" w:eastAsia="zh-CN"/>
        </w:rPr>
        <w:t>在登记结果查询码发放前，登记主体可撤回登记申请。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登记机构自收到申请日起</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3个工作日内予以受理。申请材料不齐全或者不符合规定的，需一次性告知</w:t>
      </w:r>
      <w:r>
        <w:rPr>
          <w:rFonts w:hint="default" w:ascii="Times New Roman" w:hAnsi="Times New Roman" w:eastAsia="仿宋_GB2312" w:cs="Times New Roman"/>
          <w:color w:val="auto"/>
          <w:sz w:val="32"/>
          <w:szCs w:val="32"/>
          <w:lang w:eastAsia="zh"/>
        </w:rPr>
        <w:t>登记</w:t>
      </w:r>
      <w:r>
        <w:rPr>
          <w:rFonts w:hint="default" w:ascii="Times New Roman" w:hAnsi="Times New Roman" w:eastAsia="仿宋_GB2312" w:cs="Times New Roman"/>
          <w:color w:val="auto"/>
          <w:sz w:val="32"/>
          <w:szCs w:val="32"/>
        </w:rPr>
        <w:t>主体补充完善，并按新补充后重新提交申请之日起计算受理日期。不予受理的，应当向</w:t>
      </w:r>
      <w:r>
        <w:rPr>
          <w:rFonts w:hint="default" w:ascii="Times New Roman" w:hAnsi="Times New Roman" w:eastAsia="仿宋_GB2312" w:cs="Times New Roman"/>
          <w:color w:val="auto"/>
          <w:sz w:val="32"/>
          <w:szCs w:val="32"/>
          <w:lang w:eastAsia="zh"/>
        </w:rPr>
        <w:t>登记</w:t>
      </w:r>
      <w:r>
        <w:rPr>
          <w:rFonts w:hint="default" w:ascii="Times New Roman" w:hAnsi="Times New Roman" w:eastAsia="仿宋_GB2312" w:cs="Times New Roman"/>
          <w:color w:val="auto"/>
          <w:sz w:val="32"/>
          <w:szCs w:val="32"/>
        </w:rPr>
        <w:t>主体及时说明理由。</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w:t>
      </w:r>
      <w:r>
        <w:rPr>
          <w:rFonts w:hint="eastAsia" w:eastAsia="楷体_GB2312" w:cs="Times New Roman"/>
          <w:b/>
          <w:bCs/>
          <w:color w:val="auto"/>
          <w:sz w:val="32"/>
          <w:szCs w:val="32"/>
          <w:highlight w:val="none"/>
          <w:lang w:val="en-US" w:eastAsia="zh-CN"/>
        </w:rPr>
        <w:t>形式审核</w:t>
      </w:r>
      <w:r>
        <w:rPr>
          <w:rFonts w:hint="default" w:ascii="Times New Roman" w:hAnsi="Times New Roman" w:eastAsia="楷体_GB2312" w:cs="Times New Roman"/>
          <w:b/>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登记机构应当对登记材料</w:t>
      </w:r>
      <w:r>
        <w:rPr>
          <w:rFonts w:hint="eastAsia" w:cs="Times New Roman"/>
          <w:color w:val="auto"/>
          <w:sz w:val="32"/>
          <w:szCs w:val="32"/>
          <w:lang w:val="en-US" w:eastAsia="zh-CN"/>
        </w:rPr>
        <w:t>内容</w:t>
      </w:r>
      <w:r>
        <w:rPr>
          <w:rFonts w:hint="default" w:ascii="Times New Roman" w:hAnsi="Times New Roman" w:eastAsia="仿宋_GB2312" w:cs="Times New Roman"/>
          <w:color w:val="auto"/>
          <w:sz w:val="32"/>
          <w:szCs w:val="32"/>
        </w:rPr>
        <w:t>进行</w:t>
      </w:r>
      <w:r>
        <w:rPr>
          <w:rFonts w:hint="eastAsia" w:cs="Times New Roman"/>
          <w:color w:val="auto"/>
          <w:sz w:val="32"/>
          <w:szCs w:val="32"/>
          <w:lang w:val="en-US" w:eastAsia="zh-CN"/>
        </w:rPr>
        <w:t>形式审核</w:t>
      </w:r>
      <w:r>
        <w:rPr>
          <w:rFonts w:hint="default" w:ascii="Times New Roman" w:hAnsi="Times New Roman" w:eastAsia="仿宋_GB2312" w:cs="Times New Roman"/>
          <w:color w:val="auto"/>
          <w:sz w:val="32"/>
          <w:szCs w:val="32"/>
        </w:rPr>
        <w:t>，自受理之日起20个工作日之内完成审核。</w:t>
      </w:r>
      <w:r>
        <w:rPr>
          <w:rFonts w:hint="eastAsia" w:cs="Times New Roman"/>
          <w:color w:val="auto"/>
          <w:sz w:val="32"/>
          <w:szCs w:val="32"/>
          <w:lang w:val="en-US" w:eastAsia="zh-CN"/>
        </w:rPr>
        <w:t>审核</w:t>
      </w:r>
      <w:r>
        <w:rPr>
          <w:rFonts w:hint="default" w:ascii="Times New Roman" w:hAnsi="Times New Roman" w:eastAsia="仿宋_GB2312" w:cs="Times New Roman"/>
          <w:color w:val="auto"/>
          <w:sz w:val="32"/>
          <w:szCs w:val="32"/>
        </w:rPr>
        <w:t>未</w:t>
      </w:r>
      <w:r>
        <w:rPr>
          <w:rFonts w:hint="eastAsia" w:cs="Times New Roman"/>
          <w:color w:val="auto"/>
          <w:sz w:val="32"/>
          <w:szCs w:val="32"/>
          <w:lang w:val="en-US" w:eastAsia="zh-CN"/>
        </w:rPr>
        <w:t>完成</w:t>
      </w:r>
      <w:r>
        <w:rPr>
          <w:rFonts w:hint="default" w:ascii="Times New Roman" w:hAnsi="Times New Roman" w:eastAsia="仿宋_GB2312" w:cs="Times New Roman"/>
          <w:color w:val="auto"/>
          <w:sz w:val="32"/>
          <w:szCs w:val="32"/>
        </w:rPr>
        <w:t>的，应当向</w:t>
      </w:r>
      <w:r>
        <w:rPr>
          <w:rFonts w:hint="default" w:ascii="Times New Roman" w:hAnsi="Times New Roman" w:eastAsia="仿宋_GB2312" w:cs="Times New Roman"/>
          <w:color w:val="auto"/>
          <w:sz w:val="32"/>
          <w:szCs w:val="32"/>
          <w:lang w:eastAsia="zh"/>
        </w:rPr>
        <w:t>登记</w:t>
      </w:r>
      <w:r>
        <w:rPr>
          <w:rFonts w:hint="default" w:ascii="Times New Roman" w:hAnsi="Times New Roman" w:eastAsia="仿宋_GB2312" w:cs="Times New Roman"/>
          <w:color w:val="auto"/>
          <w:sz w:val="32"/>
          <w:szCs w:val="32"/>
        </w:rPr>
        <w:t>主体说明原因。</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【登记公示】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登记机构</w:t>
      </w:r>
      <w:r>
        <w:rPr>
          <w:rFonts w:hint="eastAsia" w:cs="Times New Roman"/>
          <w:color w:val="auto"/>
          <w:sz w:val="32"/>
          <w:szCs w:val="32"/>
          <w:lang w:val="en-US" w:eastAsia="zh-CN"/>
        </w:rPr>
        <w:t>形式审核完成</w:t>
      </w:r>
      <w:r>
        <w:rPr>
          <w:rFonts w:hint="default" w:ascii="Times New Roman" w:hAnsi="Times New Roman" w:eastAsia="仿宋_GB2312" w:cs="Times New Roman"/>
          <w:color w:val="auto"/>
          <w:sz w:val="32"/>
          <w:szCs w:val="32"/>
          <w:lang w:eastAsia="zh"/>
        </w:rPr>
        <w:t>后</w:t>
      </w:r>
      <w:r>
        <w:rPr>
          <w:rFonts w:hint="default" w:ascii="Times New Roman" w:hAnsi="Times New Roman" w:eastAsia="仿宋_GB2312" w:cs="Times New Roman"/>
          <w:color w:val="auto"/>
          <w:sz w:val="32"/>
          <w:szCs w:val="32"/>
        </w:rPr>
        <w:t>应当将有关登记信息通过登记平台向社会公示，公示期为10个工作日。登记公示内容主要包括登记主体</w:t>
      </w:r>
      <w:r>
        <w:rPr>
          <w:rFonts w:hint="default" w:ascii="Times New Roman" w:hAnsi="Times New Roman" w:eastAsia="仿宋_GB2312" w:cs="Times New Roman"/>
          <w:color w:val="auto"/>
          <w:sz w:val="32"/>
          <w:szCs w:val="32"/>
          <w:lang w:eastAsia="zh"/>
        </w:rPr>
        <w:t>名称</w:t>
      </w:r>
      <w:r>
        <w:rPr>
          <w:rFonts w:hint="default" w:ascii="Times New Roman" w:hAnsi="Times New Roman" w:eastAsia="仿宋_GB2312" w:cs="Times New Roman"/>
          <w:color w:val="auto"/>
          <w:sz w:val="32"/>
          <w:szCs w:val="32"/>
        </w:rPr>
        <w:t>、登记类型、登记</w:t>
      </w:r>
      <w:r>
        <w:rPr>
          <w:rFonts w:hint="default" w:ascii="Times New Roman" w:hAnsi="Times New Roman" w:eastAsia="仿宋_GB2312" w:cs="Times New Roman"/>
          <w:color w:val="auto"/>
          <w:sz w:val="32"/>
          <w:szCs w:val="32"/>
          <w:lang w:eastAsia="zh"/>
        </w:rPr>
        <w:t>数据</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lang w:eastAsia="zh"/>
        </w:rPr>
        <w:t>数据内容简介</w:t>
      </w:r>
      <w:r>
        <w:rPr>
          <w:rFonts w:hint="default" w:ascii="Times New Roman" w:hAnsi="Times New Roman" w:eastAsia="仿宋_GB2312" w:cs="Times New Roman"/>
          <w:color w:val="auto"/>
          <w:sz w:val="32"/>
          <w:szCs w:val="32"/>
        </w:rPr>
        <w:t>。</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eastAsia" w:eastAsia="楷体_GB2312" w:cs="Times New Roman"/>
          <w:b/>
          <w:bCs/>
          <w:color w:val="auto"/>
          <w:sz w:val="32"/>
          <w:szCs w:val="32"/>
          <w:highlight w:val="none"/>
          <w:lang w:val="en-US" w:eastAsia="zh-CN"/>
        </w:rPr>
        <w:t>【异议处理】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cs="Times New Roman"/>
          <w:color w:val="auto"/>
          <w:sz w:val="32"/>
          <w:szCs w:val="32"/>
          <w:lang w:val="en-US" w:eastAsia="zh-CN"/>
        </w:rPr>
      </w:pPr>
      <w:r>
        <w:rPr>
          <w:rFonts w:hint="eastAsia" w:cs="Times New Roman"/>
          <w:color w:val="auto"/>
          <w:sz w:val="32"/>
          <w:szCs w:val="32"/>
          <w:lang w:val="en-US" w:eastAsia="zh-CN"/>
        </w:rPr>
        <w:t>公示期内对公示信息有异议的，相关当事人应实名提出异议并提供必要证据材料，登记机构应当对提出的异议进行复核，异议成立的，应终止登记。</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w:t>
      </w:r>
      <w:r>
        <w:rPr>
          <w:rFonts w:hint="eastAsia" w:eastAsia="楷体_GB2312" w:cs="Times New Roman"/>
          <w:b/>
          <w:bCs/>
          <w:color w:val="auto"/>
          <w:sz w:val="32"/>
          <w:szCs w:val="32"/>
          <w:highlight w:val="none"/>
          <w:lang w:val="en-US" w:eastAsia="zh-CN"/>
        </w:rPr>
        <w:t>登记结果查询码</w:t>
      </w:r>
      <w:r>
        <w:rPr>
          <w:rFonts w:hint="default" w:ascii="Times New Roman" w:hAnsi="Times New Roman" w:eastAsia="楷体_GB2312" w:cs="Times New Roman"/>
          <w:b/>
          <w:bCs/>
          <w:color w:val="auto"/>
          <w:sz w:val="32"/>
          <w:szCs w:val="32"/>
          <w:highlight w:val="none"/>
          <w:lang w:val="en-US" w:eastAsia="zh-CN"/>
        </w:rPr>
        <w:t>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公示期满无异议</w:t>
      </w:r>
      <w:r>
        <w:rPr>
          <w:rFonts w:hint="eastAsia" w:cs="Times New Roman"/>
          <w:color w:val="auto"/>
          <w:sz w:val="32"/>
          <w:szCs w:val="32"/>
          <w:lang w:eastAsia="zh-CN"/>
        </w:rPr>
        <w:t>的，</w:t>
      </w:r>
      <w:r>
        <w:rPr>
          <w:rFonts w:hint="eastAsia" w:cs="Times New Roman"/>
          <w:color w:val="auto"/>
          <w:sz w:val="32"/>
          <w:szCs w:val="32"/>
          <w:lang w:val="en-US" w:eastAsia="zh-CN"/>
        </w:rPr>
        <w:t>登记机构应按照国家数据局制定的统一编码规范向登记主体发放登记结果查询码。</w:t>
      </w:r>
    </w:p>
    <w:p>
      <w:pPr>
        <w:keepLines w:val="0"/>
        <w:pageBreakBefore w:val="0"/>
        <w:widowControl w:val="0"/>
        <w:tabs>
          <w:tab w:val="left" w:pos="1466"/>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32"/>
          <w:szCs w:val="32"/>
          <w:highlight w:val="none"/>
          <w:lang w:val="en-US" w:eastAsia="zh-CN"/>
        </w:rPr>
      </w:pPr>
    </w:p>
    <w:p>
      <w:pPr>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lang w:val="en-US" w:eastAsia="zh-CN"/>
        </w:rPr>
        <w:t>监督管理</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【评价</w:t>
      </w:r>
      <w:r>
        <w:rPr>
          <w:rFonts w:hint="eastAsia" w:eastAsia="楷体_GB2312" w:cs="Times New Roman"/>
          <w:b/>
          <w:bCs/>
          <w:color w:val="auto"/>
          <w:sz w:val="32"/>
          <w:szCs w:val="32"/>
          <w:highlight w:val="none"/>
          <w:lang w:val="en-US" w:eastAsia="zh-CN"/>
        </w:rPr>
        <w:t>与激励</w:t>
      </w:r>
      <w:r>
        <w:rPr>
          <w:rFonts w:hint="default" w:ascii="Times New Roman" w:hAnsi="Times New Roman" w:eastAsia="楷体_GB2312" w:cs="Times New Roman"/>
          <w:b/>
          <w:bCs/>
          <w:color w:val="auto"/>
          <w:sz w:val="32"/>
          <w:szCs w:val="32"/>
          <w:highlight w:val="none"/>
        </w:rPr>
        <w:t>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
        </w:rPr>
        <w:t>省级</w:t>
      </w:r>
      <w:r>
        <w:rPr>
          <w:rFonts w:hint="eastAsia" w:cs="Times New Roman"/>
          <w:color w:val="auto"/>
          <w:sz w:val="32"/>
          <w:szCs w:val="32"/>
          <w:lang w:eastAsia="zh-CN"/>
        </w:rPr>
        <w:t>数据管理部门</w:t>
      </w:r>
      <w:r>
        <w:rPr>
          <w:rFonts w:hint="eastAsia" w:cs="Times New Roman"/>
          <w:color w:val="auto"/>
          <w:sz w:val="32"/>
          <w:szCs w:val="32"/>
          <w:lang w:val="en-US" w:eastAsia="zh-CN"/>
        </w:rPr>
        <w:t>按照国家公共数据资源登记标准体系和登记工作评价机制，</w:t>
      </w:r>
      <w:r>
        <w:rPr>
          <w:rFonts w:hint="default" w:ascii="Times New Roman" w:hAnsi="Times New Roman" w:eastAsia="仿宋_GB2312" w:cs="Times New Roman"/>
          <w:color w:val="auto"/>
          <w:sz w:val="32"/>
          <w:szCs w:val="32"/>
        </w:rPr>
        <w:t>统筹开展对</w:t>
      </w:r>
      <w:r>
        <w:rPr>
          <w:rFonts w:hint="eastAsia" w:cs="Times New Roman"/>
          <w:color w:val="auto"/>
          <w:sz w:val="32"/>
          <w:szCs w:val="32"/>
          <w:lang w:val="en-US" w:eastAsia="zh-CN"/>
        </w:rPr>
        <w:t>全省</w:t>
      </w:r>
      <w:r>
        <w:rPr>
          <w:rFonts w:hint="default" w:ascii="Times New Roman" w:hAnsi="Times New Roman" w:eastAsia="仿宋_GB2312" w:cs="Times New Roman"/>
          <w:color w:val="auto"/>
          <w:sz w:val="32"/>
          <w:szCs w:val="32"/>
        </w:rPr>
        <w:t>登记机构的服务水平评价</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登记机构应定期向</w:t>
      </w:r>
      <w:r>
        <w:rPr>
          <w:rFonts w:hint="eastAsia" w:cs="Times New Roman"/>
          <w:color w:val="auto"/>
          <w:sz w:val="32"/>
          <w:szCs w:val="32"/>
          <w:lang w:eastAsia="zh-CN"/>
        </w:rPr>
        <w:t>数据管理部门</w:t>
      </w:r>
      <w:r>
        <w:rPr>
          <w:rFonts w:hint="default" w:ascii="Times New Roman" w:hAnsi="Times New Roman" w:eastAsia="仿宋_GB2312" w:cs="Times New Roman"/>
          <w:color w:val="auto"/>
          <w:sz w:val="32"/>
          <w:szCs w:val="32"/>
        </w:rPr>
        <w:t>提交登记服务报告。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对于未按要求进行公共数据资源登记的相关单位，在政务云资源使用、信息系统运维升级保障等方面不予优先考虑。</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【登记机构监管措施】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登记机构在登记过程中有下列行为的，由同级</w:t>
      </w:r>
      <w:r>
        <w:rPr>
          <w:rFonts w:hint="eastAsia" w:cs="Times New Roman"/>
          <w:color w:val="auto"/>
          <w:sz w:val="32"/>
          <w:szCs w:val="32"/>
          <w:lang w:eastAsia="zh-CN"/>
        </w:rPr>
        <w:t>数据管理部门</w:t>
      </w:r>
      <w:r>
        <w:rPr>
          <w:rFonts w:hint="default" w:ascii="Times New Roman" w:hAnsi="Times New Roman" w:eastAsia="仿宋_GB2312" w:cs="Times New Roman"/>
          <w:color w:val="auto"/>
          <w:sz w:val="32"/>
          <w:szCs w:val="32"/>
        </w:rPr>
        <w:t>采取约谈、现场指导或取消登记机构资格等管理措施：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（一）开展虚假登记；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（二）擅自篡改、伪造</w:t>
      </w:r>
      <w:r>
        <w:rPr>
          <w:rFonts w:hint="eastAsia" w:cs="Times New Roman"/>
          <w:color w:val="auto"/>
          <w:sz w:val="32"/>
          <w:szCs w:val="32"/>
          <w:lang w:val="en-US" w:eastAsia="zh-CN"/>
        </w:rPr>
        <w:t>登记结果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（三）私自泄露登记信息或利用登记信息进行不正当获利；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（四）履职不当或拒不履职的情况；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（五）其他违反法律法规的情况。</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【撤销登记】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登记主体有下列行为的，经核实认定后由登记机构撤销登记</w:t>
      </w:r>
      <w:r>
        <w:rPr>
          <w:rFonts w:hint="eastAsia" w:cs="Times New Roman"/>
          <w:color w:val="auto"/>
          <w:sz w:val="32"/>
          <w:szCs w:val="32"/>
          <w:lang w:val="en-US" w:eastAsia="zh-CN"/>
        </w:rPr>
        <w:t>并进行公告</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（一）隐瞒事实、弄虚作假或提供虚假登记材料；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（二）擅自篡改、伪造</w:t>
      </w:r>
      <w:r>
        <w:rPr>
          <w:rFonts w:hint="eastAsia" w:cs="Times New Roman"/>
          <w:color w:val="auto"/>
          <w:sz w:val="32"/>
          <w:szCs w:val="32"/>
          <w:lang w:val="en-US" w:eastAsia="zh-CN"/>
        </w:rPr>
        <w:t>登记结果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（三）非法使用或利用</w:t>
      </w:r>
      <w:r>
        <w:rPr>
          <w:rFonts w:hint="eastAsia" w:cs="Times New Roman"/>
          <w:color w:val="auto"/>
          <w:sz w:val="32"/>
          <w:szCs w:val="32"/>
          <w:lang w:val="en-US" w:eastAsia="zh-CN"/>
        </w:rPr>
        <w:t>登记结果</w:t>
      </w:r>
      <w:r>
        <w:rPr>
          <w:rFonts w:hint="default" w:ascii="Times New Roman" w:hAnsi="Times New Roman" w:eastAsia="仿宋_GB2312" w:cs="Times New Roman"/>
          <w:color w:val="auto"/>
          <w:sz w:val="32"/>
          <w:szCs w:val="32"/>
        </w:rPr>
        <w:t>不当获利；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cs="Times New Roman"/>
          <w:color w:val="auto"/>
          <w:sz w:val="32"/>
          <w:szCs w:val="32"/>
          <w:lang w:val="en-US" w:eastAsia="zh-CN"/>
        </w:rPr>
        <w:t>四</w:t>
      </w:r>
      <w:r>
        <w:rPr>
          <w:rFonts w:hint="default" w:ascii="Times New Roman" w:hAnsi="Times New Roman" w:eastAsia="仿宋_GB2312" w:cs="Times New Roman"/>
          <w:color w:val="auto"/>
          <w:sz w:val="32"/>
          <w:szCs w:val="32"/>
        </w:rPr>
        <w:t>）其他违反法律法规的情况。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市</w:t>
      </w:r>
      <w:r>
        <w:rPr>
          <w:rFonts w:hint="default" w:ascii="Times New Roman" w:hAnsi="Times New Roman" w:eastAsia="仿宋_GB2312" w:cs="Times New Roman"/>
          <w:color w:val="auto"/>
          <w:sz w:val="32"/>
          <w:szCs w:val="32"/>
        </w:rPr>
        <w:t>级登记机构对已登记公共数据资源进行撤销后，应向</w:t>
      </w:r>
      <w:r>
        <w:rPr>
          <w:rFonts w:hint="default" w:ascii="Times New Roman" w:hAnsi="Times New Roman" w:cs="Times New Roman"/>
          <w:color w:val="auto"/>
          <w:sz w:val="32"/>
          <w:szCs w:val="32"/>
          <w:lang w:val="en-US" w:eastAsia="zh-CN"/>
        </w:rPr>
        <w:t>省</w:t>
      </w:r>
      <w:r>
        <w:rPr>
          <w:rFonts w:hint="default" w:ascii="Times New Roman" w:hAnsi="Times New Roman" w:eastAsia="仿宋_GB2312" w:cs="Times New Roman"/>
          <w:color w:val="auto"/>
          <w:sz w:val="32"/>
          <w:szCs w:val="32"/>
        </w:rPr>
        <w:t>级登记机构备案。</w:t>
      </w:r>
      <w:r>
        <w:rPr>
          <w:rFonts w:hint="default" w:ascii="Times New Roman" w:hAnsi="Times New Roman" w:cs="Times New Roman"/>
          <w:color w:val="auto"/>
          <w:sz w:val="32"/>
          <w:szCs w:val="32"/>
          <w:lang w:val="en-US" w:eastAsia="zh-CN"/>
        </w:rPr>
        <w:t>市</w:t>
      </w:r>
      <w:r>
        <w:rPr>
          <w:rFonts w:hint="default" w:ascii="Times New Roman" w:hAnsi="Times New Roman" w:eastAsia="仿宋_GB2312" w:cs="Times New Roman"/>
          <w:color w:val="auto"/>
          <w:sz w:val="32"/>
          <w:szCs w:val="32"/>
        </w:rPr>
        <w:t>级登记机构撤销登记不符合规定的，由</w:t>
      </w:r>
      <w:r>
        <w:rPr>
          <w:rFonts w:hint="default" w:ascii="Times New Roman" w:hAnsi="Times New Roman" w:cs="Times New Roman"/>
          <w:color w:val="auto"/>
          <w:sz w:val="32"/>
          <w:szCs w:val="32"/>
          <w:lang w:val="en-US" w:eastAsia="zh-CN"/>
        </w:rPr>
        <w:t>省</w:t>
      </w:r>
      <w:r>
        <w:rPr>
          <w:rFonts w:hint="default" w:ascii="Times New Roman" w:hAnsi="Times New Roman" w:eastAsia="仿宋_GB2312" w:cs="Times New Roman"/>
          <w:color w:val="auto"/>
          <w:sz w:val="32"/>
          <w:szCs w:val="32"/>
        </w:rPr>
        <w:t>级登记机构予以纠正。</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【安全保障】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登记机构应建立重大安全风险监测、预警、处置等风险控制制度以及突发事件应急处置预案，提升防攻击、防泄露、防窃取的应急处置能力。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登记机构</w:t>
      </w:r>
      <w:r>
        <w:rPr>
          <w:rFonts w:hint="eastAsia" w:cs="Times New Roman"/>
          <w:color w:val="auto"/>
          <w:sz w:val="32"/>
          <w:szCs w:val="32"/>
          <w:lang w:val="en-US" w:eastAsia="zh-CN"/>
        </w:rPr>
        <w:t>和</w:t>
      </w:r>
      <w:r>
        <w:rPr>
          <w:rFonts w:hint="default" w:ascii="Times New Roman" w:hAnsi="Times New Roman" w:eastAsia="仿宋_GB2312" w:cs="Times New Roman"/>
          <w:color w:val="auto"/>
          <w:sz w:val="32"/>
          <w:szCs w:val="32"/>
        </w:rPr>
        <w:t>登记主体应严格履行网络和数据安全保障义务，</w:t>
      </w:r>
      <w:r>
        <w:rPr>
          <w:rFonts w:hint="eastAsia" w:cs="Times New Roman"/>
          <w:color w:val="auto"/>
          <w:sz w:val="32"/>
          <w:szCs w:val="32"/>
          <w:lang w:val="en-US" w:eastAsia="zh-CN"/>
        </w:rPr>
        <w:t>不得泄露</w:t>
      </w:r>
      <w:r>
        <w:rPr>
          <w:rFonts w:hint="default" w:ascii="Times New Roman" w:hAnsi="Times New Roman" w:eastAsia="仿宋_GB2312" w:cs="Times New Roman"/>
          <w:color w:val="auto"/>
          <w:sz w:val="32"/>
          <w:szCs w:val="32"/>
        </w:rPr>
        <w:t>登记信息</w:t>
      </w:r>
      <w:r>
        <w:rPr>
          <w:rFonts w:hint="eastAsia" w:cs="Times New Roman"/>
          <w:color w:val="auto"/>
          <w:sz w:val="32"/>
          <w:szCs w:val="32"/>
          <w:lang w:eastAsia="zh-CN"/>
        </w:rPr>
        <w:t>，</w:t>
      </w:r>
      <w:r>
        <w:rPr>
          <w:rFonts w:hint="eastAsia" w:cs="Times New Roman"/>
          <w:color w:val="auto"/>
          <w:sz w:val="32"/>
          <w:szCs w:val="32"/>
          <w:lang w:val="en-US" w:eastAsia="zh-CN"/>
        </w:rPr>
        <w:t>或者非按规定程序对外披露、提供由登记信息统计、分析形成的相关信息</w:t>
      </w:r>
      <w:r>
        <w:rPr>
          <w:rFonts w:hint="default" w:ascii="Times New Roman" w:hAnsi="Times New Roman" w:eastAsia="仿宋_GB2312" w:cs="Times New Roman"/>
          <w:color w:val="auto"/>
          <w:sz w:val="32"/>
          <w:szCs w:val="32"/>
        </w:rPr>
        <w:t>。</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【违法责任】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登记主体、登记机构、其他相关个人或组织存在违反有关法律行为的，依法承担相关责任；构成犯罪的，依法追究刑事责任。</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lang w:val="en-US" w:eastAsia="zh-CN"/>
        </w:rPr>
      </w:pPr>
      <w:r>
        <w:rPr>
          <w:rFonts w:hint="eastAsia" w:eastAsia="楷体_GB2312" w:cs="Times New Roman"/>
          <w:b/>
          <w:bCs/>
          <w:color w:val="auto"/>
          <w:sz w:val="32"/>
          <w:szCs w:val="32"/>
          <w:highlight w:val="none"/>
          <w:lang w:val="en-US" w:eastAsia="zh-CN"/>
        </w:rPr>
        <w:t>【容错机制】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color w:val="auto"/>
          <w:sz w:val="32"/>
          <w:szCs w:val="32"/>
          <w:highlight w:val="none"/>
          <w:lang w:val="en-US" w:eastAsia="zh-CN"/>
        </w:rPr>
      </w:pPr>
      <w:r>
        <w:rPr>
          <w:rFonts w:hint="default" w:cs="Times New Roman"/>
          <w:color w:val="auto"/>
          <w:sz w:val="32"/>
          <w:szCs w:val="32"/>
          <w:highlight w:val="none"/>
          <w:lang w:val="en-US" w:eastAsia="zh-CN"/>
        </w:rPr>
        <w:t>建立公共数据资源登记容错机制</w:t>
      </w:r>
      <w:r>
        <w:rPr>
          <w:rFonts w:hint="eastAsia"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登记相关方按照法律、法规和本</w:t>
      </w:r>
      <w:r>
        <w:rPr>
          <w:rFonts w:hint="eastAsia" w:cs="Times New Roman"/>
          <w:color w:val="auto"/>
          <w:sz w:val="32"/>
          <w:szCs w:val="32"/>
          <w:highlight w:val="none"/>
          <w:lang w:val="en-US" w:eastAsia="zh-CN"/>
        </w:rPr>
        <w:t>细则</w:t>
      </w:r>
      <w:r>
        <w:rPr>
          <w:rFonts w:hint="default" w:ascii="Times New Roman" w:hAnsi="Times New Roman" w:cs="Times New Roman"/>
          <w:color w:val="auto"/>
          <w:sz w:val="32"/>
          <w:szCs w:val="32"/>
          <w:highlight w:val="none"/>
          <w:lang w:val="en-US" w:eastAsia="zh-CN"/>
        </w:rPr>
        <w:t>开展</w:t>
      </w:r>
      <w:r>
        <w:rPr>
          <w:rFonts w:hint="eastAsia" w:cs="Times New Roman"/>
          <w:color w:val="auto"/>
          <w:sz w:val="32"/>
          <w:szCs w:val="32"/>
          <w:highlight w:val="none"/>
          <w:lang w:val="en-US" w:eastAsia="zh-CN"/>
        </w:rPr>
        <w:t>公共数据资源登记</w:t>
      </w:r>
      <w:r>
        <w:rPr>
          <w:rFonts w:hint="default" w:ascii="Times New Roman" w:hAnsi="Times New Roman" w:cs="Times New Roman"/>
          <w:color w:val="auto"/>
          <w:sz w:val="32"/>
          <w:szCs w:val="32"/>
          <w:highlight w:val="none"/>
          <w:lang w:val="en-US" w:eastAsia="zh-CN"/>
        </w:rPr>
        <w:t>工作，履行了监督管理职责，由于</w:t>
      </w:r>
      <w:r>
        <w:rPr>
          <w:rFonts w:hint="eastAsia" w:cs="Times New Roman"/>
          <w:color w:val="auto"/>
          <w:sz w:val="32"/>
          <w:szCs w:val="32"/>
          <w:highlight w:val="none"/>
          <w:lang w:val="en-US" w:eastAsia="zh-CN"/>
        </w:rPr>
        <w:t>数据领域未知变量导致</w:t>
      </w:r>
      <w:r>
        <w:rPr>
          <w:rFonts w:hint="default" w:ascii="Times New Roman" w:hAnsi="Times New Roman" w:cs="Times New Roman"/>
          <w:color w:val="auto"/>
          <w:sz w:val="32"/>
          <w:szCs w:val="32"/>
          <w:highlight w:val="none"/>
          <w:lang w:val="en-US" w:eastAsia="zh-CN"/>
        </w:rPr>
        <w:t>第三方损失的，依法依规不予或者从轻处理</w:t>
      </w:r>
      <w:r>
        <w:rPr>
          <w:rFonts w:hint="eastAsia" w:cs="Times New Roman"/>
          <w:color w:val="auto"/>
          <w:sz w:val="32"/>
          <w:szCs w:val="32"/>
          <w:highlight w:val="none"/>
          <w:lang w:val="en-US" w:eastAsia="zh-CN"/>
        </w:rPr>
        <w:t>。</w:t>
      </w:r>
    </w:p>
    <w:p>
      <w:pPr>
        <w:keepNext w:val="0"/>
        <w:keepLines w:val="0"/>
        <w:pageBreakBefore w:val="0"/>
        <w:widowControl w:val="0"/>
        <w:numPr>
          <w:ilvl w:val="0"/>
          <w:numId w:val="0"/>
        </w:numPr>
        <w:tabs>
          <w:tab w:val="left" w:pos="146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z w:val="32"/>
          <w:szCs w:val="32"/>
          <w:highlight w:val="none"/>
          <w:lang w:val="en-US" w:eastAsia="zh-CN"/>
        </w:rPr>
      </w:pPr>
    </w:p>
    <w:p>
      <w:pPr>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lang w:val="en-US" w:eastAsia="zh-CN"/>
        </w:rPr>
        <w:t>附则</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解释权</w:t>
      </w:r>
      <w:r>
        <w:rPr>
          <w:rFonts w:hint="default" w:ascii="Times New Roman" w:hAnsi="Times New Roman" w:eastAsia="楷体_GB2312" w:cs="Times New Roman"/>
          <w:b/>
          <w:bCs/>
          <w:color w:val="auto"/>
          <w:sz w:val="32"/>
          <w:szCs w:val="32"/>
          <w:highlight w:val="none"/>
        </w:rPr>
        <w:t>】</w:t>
      </w:r>
    </w:p>
    <w:p>
      <w:pPr>
        <w:keepNext w:val="0"/>
        <w:keepLines w:val="0"/>
        <w:pageBreakBefore w:val="0"/>
        <w:widowControl w:val="0"/>
        <w:numPr>
          <w:ilvl w:val="0"/>
          <w:numId w:val="0"/>
        </w:numPr>
        <w:tabs>
          <w:tab w:val="left" w:pos="146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本细则由辽宁省数据局负责解释。</w:t>
      </w:r>
    </w:p>
    <w:p>
      <w:pPr>
        <w:keepLines w:val="0"/>
        <w:pageBreakBefore w:val="0"/>
        <w:widowControl w:val="0"/>
        <w:numPr>
          <w:ilvl w:val="0"/>
          <w:numId w:val="2"/>
        </w:numPr>
        <w:kinsoku/>
        <w:wordWrap/>
        <w:overflowPunct/>
        <w:topLinePunct w:val="0"/>
        <w:autoSpaceDE/>
        <w:autoSpaceDN/>
        <w:bidi w:val="0"/>
        <w:adjustRightInd/>
        <w:snapToGrid/>
        <w:spacing w:line="600" w:lineRule="exact"/>
        <w:ind w:firstLine="602"/>
        <w:textAlignment w:val="auto"/>
        <w:outlineLvl w:val="1"/>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eastAsia="楷体_GB2312" w:cs="Times New Roman"/>
          <w:b/>
          <w:bCs/>
          <w:color w:val="auto"/>
          <w:sz w:val="32"/>
          <w:szCs w:val="32"/>
          <w:highlight w:val="none"/>
          <w:lang w:val="en-US" w:eastAsia="zh-CN"/>
        </w:rPr>
        <w:t>实施日期</w:t>
      </w:r>
      <w:r>
        <w:rPr>
          <w:rFonts w:hint="default" w:ascii="Times New Roman" w:hAnsi="Times New Roman" w:eastAsia="楷体_GB2312" w:cs="Times New Roman"/>
          <w:b/>
          <w:bCs/>
          <w:color w:val="auto"/>
          <w:sz w:val="32"/>
          <w:szCs w:val="32"/>
          <w:highlight w:val="none"/>
        </w:rPr>
        <w:t>】</w:t>
      </w:r>
    </w:p>
    <w:p>
      <w:pPr>
        <w:keepNext w:val="0"/>
        <w:keepLines w:val="0"/>
        <w:pageBreakBefore w:val="0"/>
        <w:widowControl w:val="0"/>
        <w:numPr>
          <w:ilvl w:val="0"/>
          <w:numId w:val="0"/>
        </w:numPr>
        <w:tabs>
          <w:tab w:val="left" w:pos="146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本细则自202</w:t>
      </w:r>
      <w:r>
        <w:rPr>
          <w:rFonts w:hint="eastAsia" w:cs="Times New Roman"/>
          <w:color w:val="auto"/>
          <w:sz w:val="32"/>
          <w:szCs w:val="32"/>
          <w:highlight w:val="none"/>
          <w:lang w:val="en-US" w:eastAsia="zh-CN"/>
        </w:rPr>
        <w:t>5</w:t>
      </w:r>
      <w:r>
        <w:rPr>
          <w:rFonts w:hint="default" w:ascii="Times New Roman" w:hAnsi="Times New Roman" w:cs="Times New Roman"/>
          <w:color w:val="auto"/>
          <w:sz w:val="32"/>
          <w:szCs w:val="32"/>
          <w:highlight w:val="none"/>
          <w:lang w:val="en-US" w:eastAsia="zh-CN"/>
        </w:rPr>
        <w:t>年</w:t>
      </w:r>
      <w:r>
        <w:rPr>
          <w:rFonts w:hint="eastAsia" w:cs="Times New Roman"/>
          <w:color w:val="auto"/>
          <w:sz w:val="32"/>
          <w:szCs w:val="32"/>
          <w:highlight w:val="none"/>
          <w:lang w:val="en-US" w:eastAsia="zh-CN"/>
        </w:rPr>
        <w:t>XX</w:t>
      </w:r>
      <w:r>
        <w:rPr>
          <w:rFonts w:hint="default" w:ascii="Times New Roman" w:hAnsi="Times New Roman" w:cs="Times New Roman"/>
          <w:color w:val="auto"/>
          <w:sz w:val="32"/>
          <w:szCs w:val="32"/>
          <w:highlight w:val="none"/>
          <w:lang w:val="en-US" w:eastAsia="zh-CN"/>
        </w:rPr>
        <w:t>月</w:t>
      </w:r>
      <w:r>
        <w:rPr>
          <w:rFonts w:hint="eastAsia" w:cs="Times New Roman"/>
          <w:color w:val="auto"/>
          <w:sz w:val="32"/>
          <w:szCs w:val="32"/>
          <w:highlight w:val="none"/>
          <w:lang w:val="en-US" w:eastAsia="zh-CN"/>
        </w:rPr>
        <w:t>XX</w:t>
      </w:r>
      <w:r>
        <w:rPr>
          <w:rFonts w:hint="default" w:ascii="Times New Roman" w:hAnsi="Times New Roman" w:cs="Times New Roman"/>
          <w:color w:val="auto"/>
          <w:sz w:val="32"/>
          <w:szCs w:val="32"/>
          <w:highlight w:val="none"/>
          <w:lang w:val="en-US" w:eastAsia="zh-CN"/>
        </w:rPr>
        <w:t>日起实施，</w:t>
      </w:r>
      <w:r>
        <w:rPr>
          <w:rFonts w:hint="eastAsia" w:cs="Times New Roman"/>
          <w:color w:val="auto"/>
          <w:sz w:val="32"/>
          <w:szCs w:val="32"/>
          <w:highlight w:val="none"/>
          <w:lang w:val="en-US" w:eastAsia="zh-CN"/>
        </w:rPr>
        <w:t>试行</w:t>
      </w:r>
      <w:r>
        <w:rPr>
          <w:rFonts w:hint="default" w:ascii="Times New Roman" w:hAnsi="Times New Roman" w:cs="Times New Roman"/>
          <w:color w:val="auto"/>
          <w:sz w:val="32"/>
          <w:szCs w:val="32"/>
          <w:highlight w:val="none"/>
          <w:lang w:val="en-US" w:eastAsia="zh-CN"/>
        </w:rPr>
        <w:t>期</w:t>
      </w:r>
      <w:r>
        <w:rPr>
          <w:rFonts w:hint="eastAsia" w:cs="Times New Roman"/>
          <w:color w:val="auto"/>
          <w:sz w:val="32"/>
          <w:szCs w:val="32"/>
          <w:highlight w:val="none"/>
          <w:lang w:val="en-US" w:eastAsia="zh-CN"/>
        </w:rPr>
        <w:t>XX</w:t>
      </w:r>
      <w:r>
        <w:rPr>
          <w:rFonts w:hint="default" w:ascii="Times New Roman" w:hAnsi="Times New Roman" w:cs="Times New Roman"/>
          <w:color w:val="auto"/>
          <w:sz w:val="32"/>
          <w:szCs w:val="32"/>
          <w:highlight w:val="none"/>
          <w:lang w:val="en-US" w:eastAsia="zh-CN"/>
        </w:rPr>
        <w:t>年。</w:t>
      </w:r>
      <w:r>
        <w:rPr>
          <w:rFonts w:hint="eastAsia" w:cs="Times New Roman"/>
          <w:color w:val="auto"/>
          <w:sz w:val="32"/>
          <w:szCs w:val="32"/>
          <w:highlight w:val="none"/>
          <w:lang w:val="en-US" w:eastAsia="zh-CN"/>
        </w:rPr>
        <w:t>期间，</w:t>
      </w:r>
      <w:r>
        <w:rPr>
          <w:rFonts w:hint="default" w:ascii="Times New Roman" w:hAnsi="Times New Roman" w:cs="Times New Roman"/>
          <w:color w:val="auto"/>
          <w:sz w:val="32"/>
          <w:szCs w:val="32"/>
          <w:highlight w:val="none"/>
          <w:lang w:val="en-US" w:eastAsia="zh-CN"/>
        </w:rPr>
        <w:t>法律法规、国家政策</w:t>
      </w:r>
      <w:r>
        <w:rPr>
          <w:rFonts w:hint="eastAsia" w:cs="Times New Roman"/>
          <w:color w:val="auto"/>
          <w:sz w:val="32"/>
          <w:szCs w:val="32"/>
          <w:highlight w:val="none"/>
          <w:lang w:val="en-US" w:eastAsia="zh-CN"/>
        </w:rPr>
        <w:t>和辽宁省</w:t>
      </w:r>
      <w:r>
        <w:rPr>
          <w:rFonts w:hint="default" w:ascii="Times New Roman" w:hAnsi="Times New Roman" w:cs="Times New Roman"/>
          <w:color w:val="auto"/>
          <w:sz w:val="32"/>
          <w:szCs w:val="32"/>
          <w:highlight w:val="none"/>
          <w:lang w:val="en-US" w:eastAsia="zh-CN"/>
        </w:rPr>
        <w:t>人民政府对公共数据资源登记管理有新规定的，从其规定。</w:t>
      </w:r>
    </w:p>
    <w:sectPr>
      <w:headerReference r:id="rId5" w:type="default"/>
      <w:footerReference r:id="rId6" w:type="default"/>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3"/>
                      <w:ind w:left="0" w:leftChars="0" w:firstLine="0" w:firstLineChars="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21AF2"/>
    <w:multiLevelType w:val="singleLevel"/>
    <w:tmpl w:val="82321AF2"/>
    <w:lvl w:ilvl="0" w:tentative="0">
      <w:start w:val="1"/>
      <w:numFmt w:val="chineseCounting"/>
      <w:suff w:val="space"/>
      <w:lvlText w:val="第%1条"/>
      <w:lvlJc w:val="left"/>
      <w:rPr>
        <w:rFonts w:hint="eastAsia"/>
      </w:rPr>
    </w:lvl>
  </w:abstractNum>
  <w:abstractNum w:abstractNumId="1">
    <w:nsid w:val="25F4F59B"/>
    <w:multiLevelType w:val="singleLevel"/>
    <w:tmpl w:val="25F4F59B"/>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NWI3ZGY4NTY2NGEzMjE0ZGM4ZWFkYTA1ZDllZjQifQ=="/>
  </w:docVars>
  <w:rsids>
    <w:rsidRoot w:val="002F31E5"/>
    <w:rsid w:val="00074439"/>
    <w:rsid w:val="000B78A1"/>
    <w:rsid w:val="00146927"/>
    <w:rsid w:val="00152D3E"/>
    <w:rsid w:val="001B2B13"/>
    <w:rsid w:val="001E2973"/>
    <w:rsid w:val="001F4184"/>
    <w:rsid w:val="002F31E5"/>
    <w:rsid w:val="0045534B"/>
    <w:rsid w:val="005367CC"/>
    <w:rsid w:val="005571AA"/>
    <w:rsid w:val="00626759"/>
    <w:rsid w:val="00646D9C"/>
    <w:rsid w:val="00760BA7"/>
    <w:rsid w:val="007E2EF7"/>
    <w:rsid w:val="00842E86"/>
    <w:rsid w:val="0085457F"/>
    <w:rsid w:val="009A7605"/>
    <w:rsid w:val="00A16BE5"/>
    <w:rsid w:val="00AA6008"/>
    <w:rsid w:val="00AF074D"/>
    <w:rsid w:val="00B14FBB"/>
    <w:rsid w:val="00B35204"/>
    <w:rsid w:val="00B83EBB"/>
    <w:rsid w:val="00BD32AB"/>
    <w:rsid w:val="00C603FA"/>
    <w:rsid w:val="00DA160E"/>
    <w:rsid w:val="00DA2EAE"/>
    <w:rsid w:val="00DC553D"/>
    <w:rsid w:val="00E615A6"/>
    <w:rsid w:val="00E820D6"/>
    <w:rsid w:val="00E9234F"/>
    <w:rsid w:val="00EA1453"/>
    <w:rsid w:val="011A4D50"/>
    <w:rsid w:val="01255120"/>
    <w:rsid w:val="012D0213"/>
    <w:rsid w:val="01325A8F"/>
    <w:rsid w:val="013C690E"/>
    <w:rsid w:val="014063FE"/>
    <w:rsid w:val="014D0B1B"/>
    <w:rsid w:val="015C48BA"/>
    <w:rsid w:val="016025FC"/>
    <w:rsid w:val="01834D08"/>
    <w:rsid w:val="01853E11"/>
    <w:rsid w:val="0194674A"/>
    <w:rsid w:val="01A85D51"/>
    <w:rsid w:val="01B841E6"/>
    <w:rsid w:val="01C0753F"/>
    <w:rsid w:val="01EF3980"/>
    <w:rsid w:val="01FF1E15"/>
    <w:rsid w:val="020E02AA"/>
    <w:rsid w:val="023A109F"/>
    <w:rsid w:val="025657AD"/>
    <w:rsid w:val="02963DFC"/>
    <w:rsid w:val="02A97FD3"/>
    <w:rsid w:val="02AA0744"/>
    <w:rsid w:val="02CA7777"/>
    <w:rsid w:val="02D212D8"/>
    <w:rsid w:val="02EB239A"/>
    <w:rsid w:val="02F70D3E"/>
    <w:rsid w:val="03394EB3"/>
    <w:rsid w:val="03463A74"/>
    <w:rsid w:val="039F48FD"/>
    <w:rsid w:val="03C606B7"/>
    <w:rsid w:val="03F84D6E"/>
    <w:rsid w:val="04155920"/>
    <w:rsid w:val="04163446"/>
    <w:rsid w:val="04185410"/>
    <w:rsid w:val="04357D70"/>
    <w:rsid w:val="044955CA"/>
    <w:rsid w:val="04697A1A"/>
    <w:rsid w:val="04836851"/>
    <w:rsid w:val="048605CC"/>
    <w:rsid w:val="0495080F"/>
    <w:rsid w:val="049D76C3"/>
    <w:rsid w:val="04A44EF6"/>
    <w:rsid w:val="04FA4B16"/>
    <w:rsid w:val="05184F9C"/>
    <w:rsid w:val="052D3191"/>
    <w:rsid w:val="054A15F9"/>
    <w:rsid w:val="055661F0"/>
    <w:rsid w:val="055C30DB"/>
    <w:rsid w:val="057523EE"/>
    <w:rsid w:val="057743B8"/>
    <w:rsid w:val="057E5747"/>
    <w:rsid w:val="0580185D"/>
    <w:rsid w:val="0580501B"/>
    <w:rsid w:val="05B64EE1"/>
    <w:rsid w:val="05C07B0D"/>
    <w:rsid w:val="06071298"/>
    <w:rsid w:val="06344057"/>
    <w:rsid w:val="063B3638"/>
    <w:rsid w:val="067B3A34"/>
    <w:rsid w:val="067F3525"/>
    <w:rsid w:val="0687062B"/>
    <w:rsid w:val="06D15558"/>
    <w:rsid w:val="07057FDE"/>
    <w:rsid w:val="0744177E"/>
    <w:rsid w:val="077741FC"/>
    <w:rsid w:val="078A2181"/>
    <w:rsid w:val="07E13D6B"/>
    <w:rsid w:val="081D2FF5"/>
    <w:rsid w:val="084F33CB"/>
    <w:rsid w:val="0858227F"/>
    <w:rsid w:val="086A5B0F"/>
    <w:rsid w:val="087921F6"/>
    <w:rsid w:val="08CC4A1B"/>
    <w:rsid w:val="08D35DAA"/>
    <w:rsid w:val="08D86F1C"/>
    <w:rsid w:val="08F875BE"/>
    <w:rsid w:val="09077801"/>
    <w:rsid w:val="0915058C"/>
    <w:rsid w:val="09175C96"/>
    <w:rsid w:val="09652EA6"/>
    <w:rsid w:val="09776735"/>
    <w:rsid w:val="09B23C11"/>
    <w:rsid w:val="09BF626E"/>
    <w:rsid w:val="09D337F7"/>
    <w:rsid w:val="09DC2482"/>
    <w:rsid w:val="09F2225F"/>
    <w:rsid w:val="0A0C3321"/>
    <w:rsid w:val="0A411361"/>
    <w:rsid w:val="0A463CD4"/>
    <w:rsid w:val="0A474359"/>
    <w:rsid w:val="0A79472F"/>
    <w:rsid w:val="0AAC240E"/>
    <w:rsid w:val="0ACB31DC"/>
    <w:rsid w:val="0AD55E09"/>
    <w:rsid w:val="0ADA7FCA"/>
    <w:rsid w:val="0AE61DC4"/>
    <w:rsid w:val="0AED6133"/>
    <w:rsid w:val="0B08096D"/>
    <w:rsid w:val="0B2428ED"/>
    <w:rsid w:val="0B5807E8"/>
    <w:rsid w:val="0B5F3B76"/>
    <w:rsid w:val="0B9B3AF1"/>
    <w:rsid w:val="0BB377CC"/>
    <w:rsid w:val="0BB93035"/>
    <w:rsid w:val="0BC47C2C"/>
    <w:rsid w:val="0BF01516"/>
    <w:rsid w:val="0C1069CD"/>
    <w:rsid w:val="0C476F03"/>
    <w:rsid w:val="0C4D19CF"/>
    <w:rsid w:val="0C662A91"/>
    <w:rsid w:val="0C7B653C"/>
    <w:rsid w:val="0C974BFF"/>
    <w:rsid w:val="0CBB61F2"/>
    <w:rsid w:val="0CD43E9E"/>
    <w:rsid w:val="0CE57E5A"/>
    <w:rsid w:val="0CEF15F2"/>
    <w:rsid w:val="0D186481"/>
    <w:rsid w:val="0D22367B"/>
    <w:rsid w:val="0D3037CB"/>
    <w:rsid w:val="0D5C74C9"/>
    <w:rsid w:val="0D605732"/>
    <w:rsid w:val="0DA27AF9"/>
    <w:rsid w:val="0DF13D0B"/>
    <w:rsid w:val="0E180AB8"/>
    <w:rsid w:val="0E1D7C7E"/>
    <w:rsid w:val="0E4A08BC"/>
    <w:rsid w:val="0E4E5CCE"/>
    <w:rsid w:val="0E72396F"/>
    <w:rsid w:val="0ED91C40"/>
    <w:rsid w:val="0EE91E83"/>
    <w:rsid w:val="0F056591"/>
    <w:rsid w:val="0F1D1B2D"/>
    <w:rsid w:val="0F23323F"/>
    <w:rsid w:val="0F384BB8"/>
    <w:rsid w:val="0F3F5F47"/>
    <w:rsid w:val="0F7F3BC8"/>
    <w:rsid w:val="0F846FC0"/>
    <w:rsid w:val="0FA83AEC"/>
    <w:rsid w:val="0FB36CFB"/>
    <w:rsid w:val="0FB93AE4"/>
    <w:rsid w:val="0FE679A4"/>
    <w:rsid w:val="0FFF7484"/>
    <w:rsid w:val="100A35A9"/>
    <w:rsid w:val="1010343F"/>
    <w:rsid w:val="103C6C39"/>
    <w:rsid w:val="104B091B"/>
    <w:rsid w:val="106751B7"/>
    <w:rsid w:val="10741C20"/>
    <w:rsid w:val="1089694F"/>
    <w:rsid w:val="10903BDC"/>
    <w:rsid w:val="10AF4A06"/>
    <w:rsid w:val="10F2465E"/>
    <w:rsid w:val="113207AB"/>
    <w:rsid w:val="115D0906"/>
    <w:rsid w:val="11680121"/>
    <w:rsid w:val="119360D6"/>
    <w:rsid w:val="11A55E09"/>
    <w:rsid w:val="11BD3153"/>
    <w:rsid w:val="11EE264C"/>
    <w:rsid w:val="12172533"/>
    <w:rsid w:val="122E5DFF"/>
    <w:rsid w:val="12413D84"/>
    <w:rsid w:val="12505D75"/>
    <w:rsid w:val="12665599"/>
    <w:rsid w:val="128B3251"/>
    <w:rsid w:val="12B66520"/>
    <w:rsid w:val="12C901DC"/>
    <w:rsid w:val="12E5086F"/>
    <w:rsid w:val="12FB03D7"/>
    <w:rsid w:val="130D010A"/>
    <w:rsid w:val="13294F44"/>
    <w:rsid w:val="132A0CBC"/>
    <w:rsid w:val="132A4818"/>
    <w:rsid w:val="132D4308"/>
    <w:rsid w:val="136A10B9"/>
    <w:rsid w:val="13B862C8"/>
    <w:rsid w:val="13F866C4"/>
    <w:rsid w:val="141352AC"/>
    <w:rsid w:val="14263231"/>
    <w:rsid w:val="14423DE3"/>
    <w:rsid w:val="14B60A59"/>
    <w:rsid w:val="14EB1A70"/>
    <w:rsid w:val="150317C5"/>
    <w:rsid w:val="15051099"/>
    <w:rsid w:val="1517701E"/>
    <w:rsid w:val="152D75E6"/>
    <w:rsid w:val="154047C7"/>
    <w:rsid w:val="154D2A40"/>
    <w:rsid w:val="15896C45"/>
    <w:rsid w:val="159611B7"/>
    <w:rsid w:val="15A5462A"/>
    <w:rsid w:val="15AC3C0A"/>
    <w:rsid w:val="15AE7982"/>
    <w:rsid w:val="15DB393A"/>
    <w:rsid w:val="15DB51FB"/>
    <w:rsid w:val="15EE5FD1"/>
    <w:rsid w:val="15F66C34"/>
    <w:rsid w:val="15F95BF8"/>
    <w:rsid w:val="16375ECF"/>
    <w:rsid w:val="164B51D1"/>
    <w:rsid w:val="166B1A15"/>
    <w:rsid w:val="1674297A"/>
    <w:rsid w:val="16774218"/>
    <w:rsid w:val="1695469E"/>
    <w:rsid w:val="16A13043"/>
    <w:rsid w:val="16D57191"/>
    <w:rsid w:val="17326391"/>
    <w:rsid w:val="173E6AE4"/>
    <w:rsid w:val="174340FA"/>
    <w:rsid w:val="174F0CF1"/>
    <w:rsid w:val="1776627E"/>
    <w:rsid w:val="177E3384"/>
    <w:rsid w:val="17D3547E"/>
    <w:rsid w:val="17D411F6"/>
    <w:rsid w:val="17F378CF"/>
    <w:rsid w:val="17F83137"/>
    <w:rsid w:val="18441ED8"/>
    <w:rsid w:val="184421CF"/>
    <w:rsid w:val="18491BE4"/>
    <w:rsid w:val="18495740"/>
    <w:rsid w:val="18636F2F"/>
    <w:rsid w:val="18980476"/>
    <w:rsid w:val="18AE1A47"/>
    <w:rsid w:val="18B334C1"/>
    <w:rsid w:val="18B95189"/>
    <w:rsid w:val="18BC088E"/>
    <w:rsid w:val="18DC0363"/>
    <w:rsid w:val="18DC4807"/>
    <w:rsid w:val="18EB67F8"/>
    <w:rsid w:val="18F854FA"/>
    <w:rsid w:val="190F2B7A"/>
    <w:rsid w:val="19235F91"/>
    <w:rsid w:val="196842EC"/>
    <w:rsid w:val="196A0064"/>
    <w:rsid w:val="19782558"/>
    <w:rsid w:val="19A05834"/>
    <w:rsid w:val="19A35324"/>
    <w:rsid w:val="19A74E14"/>
    <w:rsid w:val="19EC6CCB"/>
    <w:rsid w:val="19F45B80"/>
    <w:rsid w:val="1A501008"/>
    <w:rsid w:val="1A6E76E0"/>
    <w:rsid w:val="1A710F7F"/>
    <w:rsid w:val="1A740641"/>
    <w:rsid w:val="1A7C004F"/>
    <w:rsid w:val="1AB01AA7"/>
    <w:rsid w:val="1AC9700C"/>
    <w:rsid w:val="1ACB2460"/>
    <w:rsid w:val="1AE300CE"/>
    <w:rsid w:val="1AE6371B"/>
    <w:rsid w:val="1AE856E5"/>
    <w:rsid w:val="1B0E67CD"/>
    <w:rsid w:val="1B1262BE"/>
    <w:rsid w:val="1B1E2EB4"/>
    <w:rsid w:val="1B334486"/>
    <w:rsid w:val="1B6A60FA"/>
    <w:rsid w:val="1B8A679C"/>
    <w:rsid w:val="1B990414"/>
    <w:rsid w:val="1BE2171B"/>
    <w:rsid w:val="1BF260EF"/>
    <w:rsid w:val="1C2314B7"/>
    <w:rsid w:val="1C393D1E"/>
    <w:rsid w:val="1CB7247E"/>
    <w:rsid w:val="1CE92A10"/>
    <w:rsid w:val="1CFA34AD"/>
    <w:rsid w:val="1CFC60D4"/>
    <w:rsid w:val="1D156539"/>
    <w:rsid w:val="1D3075F1"/>
    <w:rsid w:val="1D69418F"/>
    <w:rsid w:val="1D752B34"/>
    <w:rsid w:val="1D756FD8"/>
    <w:rsid w:val="1D8B67FB"/>
    <w:rsid w:val="1DA43419"/>
    <w:rsid w:val="1DB573D4"/>
    <w:rsid w:val="1DDC41D2"/>
    <w:rsid w:val="1DF943F8"/>
    <w:rsid w:val="1E135665"/>
    <w:rsid w:val="1E2A7DC2"/>
    <w:rsid w:val="1E3105DD"/>
    <w:rsid w:val="1E6C03DB"/>
    <w:rsid w:val="1E701165"/>
    <w:rsid w:val="1E7619DC"/>
    <w:rsid w:val="1E7B6870"/>
    <w:rsid w:val="1E935967"/>
    <w:rsid w:val="1E94348E"/>
    <w:rsid w:val="1EC21DA9"/>
    <w:rsid w:val="1F185E6D"/>
    <w:rsid w:val="1F1C3BAF"/>
    <w:rsid w:val="1F374545"/>
    <w:rsid w:val="1F3F33F9"/>
    <w:rsid w:val="1F550E6F"/>
    <w:rsid w:val="1F6C3E55"/>
    <w:rsid w:val="1F7F413E"/>
    <w:rsid w:val="1FA25C2A"/>
    <w:rsid w:val="1FB876AC"/>
    <w:rsid w:val="1FDE2C12"/>
    <w:rsid w:val="1FE10954"/>
    <w:rsid w:val="1FEB7DF5"/>
    <w:rsid w:val="202251F5"/>
    <w:rsid w:val="20270DF1"/>
    <w:rsid w:val="20384A18"/>
    <w:rsid w:val="2049787E"/>
    <w:rsid w:val="204A474C"/>
    <w:rsid w:val="206F7D0E"/>
    <w:rsid w:val="20766B93"/>
    <w:rsid w:val="20880DD0"/>
    <w:rsid w:val="208F215E"/>
    <w:rsid w:val="2091237A"/>
    <w:rsid w:val="20A51982"/>
    <w:rsid w:val="20B83463"/>
    <w:rsid w:val="20D364EF"/>
    <w:rsid w:val="20E424AA"/>
    <w:rsid w:val="20F12E19"/>
    <w:rsid w:val="20F621DE"/>
    <w:rsid w:val="210E1699"/>
    <w:rsid w:val="21352D06"/>
    <w:rsid w:val="213B4094"/>
    <w:rsid w:val="215C4736"/>
    <w:rsid w:val="21CB366A"/>
    <w:rsid w:val="21CF315A"/>
    <w:rsid w:val="220F29F0"/>
    <w:rsid w:val="221072CF"/>
    <w:rsid w:val="22160D89"/>
    <w:rsid w:val="222949D8"/>
    <w:rsid w:val="224376A4"/>
    <w:rsid w:val="227D536A"/>
    <w:rsid w:val="22A2261D"/>
    <w:rsid w:val="22A81B63"/>
    <w:rsid w:val="22C500B9"/>
    <w:rsid w:val="230010F2"/>
    <w:rsid w:val="23171F20"/>
    <w:rsid w:val="232E2103"/>
    <w:rsid w:val="23325C18"/>
    <w:rsid w:val="23345473"/>
    <w:rsid w:val="23377209"/>
    <w:rsid w:val="235B27CC"/>
    <w:rsid w:val="23641680"/>
    <w:rsid w:val="23733FB9"/>
    <w:rsid w:val="237A0EA4"/>
    <w:rsid w:val="237B4332"/>
    <w:rsid w:val="23B33E8E"/>
    <w:rsid w:val="23C95987"/>
    <w:rsid w:val="23F549CE"/>
    <w:rsid w:val="241430A6"/>
    <w:rsid w:val="241F5FE1"/>
    <w:rsid w:val="243C084F"/>
    <w:rsid w:val="2480073C"/>
    <w:rsid w:val="24CA5E5B"/>
    <w:rsid w:val="24FD1D8D"/>
    <w:rsid w:val="25782A49"/>
    <w:rsid w:val="257D111F"/>
    <w:rsid w:val="257D2ECD"/>
    <w:rsid w:val="257F3212"/>
    <w:rsid w:val="25D54AB7"/>
    <w:rsid w:val="26061115"/>
    <w:rsid w:val="261E020C"/>
    <w:rsid w:val="26233A75"/>
    <w:rsid w:val="263A491A"/>
    <w:rsid w:val="26A85D28"/>
    <w:rsid w:val="26D1446C"/>
    <w:rsid w:val="26F96584"/>
    <w:rsid w:val="270513CC"/>
    <w:rsid w:val="27554102"/>
    <w:rsid w:val="276E51C4"/>
    <w:rsid w:val="27BA5D13"/>
    <w:rsid w:val="27E15995"/>
    <w:rsid w:val="2818512F"/>
    <w:rsid w:val="281A2C55"/>
    <w:rsid w:val="28221B0A"/>
    <w:rsid w:val="284321AC"/>
    <w:rsid w:val="285223EF"/>
    <w:rsid w:val="287D0CFD"/>
    <w:rsid w:val="28A15125"/>
    <w:rsid w:val="290E4BC6"/>
    <w:rsid w:val="29310257"/>
    <w:rsid w:val="293B10D5"/>
    <w:rsid w:val="29583A35"/>
    <w:rsid w:val="29673C78"/>
    <w:rsid w:val="296A19BB"/>
    <w:rsid w:val="29826D04"/>
    <w:rsid w:val="29A50C45"/>
    <w:rsid w:val="29C235A5"/>
    <w:rsid w:val="2A027E45"/>
    <w:rsid w:val="2A04596B"/>
    <w:rsid w:val="2A222295"/>
    <w:rsid w:val="2A5E25E6"/>
    <w:rsid w:val="2A88659C"/>
    <w:rsid w:val="2A905451"/>
    <w:rsid w:val="2A9C2048"/>
    <w:rsid w:val="2AB2415C"/>
    <w:rsid w:val="2ABE1FBE"/>
    <w:rsid w:val="2AFE685E"/>
    <w:rsid w:val="2B0D0E60"/>
    <w:rsid w:val="2B0F646D"/>
    <w:rsid w:val="2B110340"/>
    <w:rsid w:val="2B177920"/>
    <w:rsid w:val="2B471FB3"/>
    <w:rsid w:val="2B822FEC"/>
    <w:rsid w:val="2BC453B2"/>
    <w:rsid w:val="2BEC4909"/>
    <w:rsid w:val="2BF4633D"/>
    <w:rsid w:val="2C1F6A8C"/>
    <w:rsid w:val="2C2839D7"/>
    <w:rsid w:val="2C3047F6"/>
    <w:rsid w:val="2C3D33B6"/>
    <w:rsid w:val="2C4464F3"/>
    <w:rsid w:val="2C4B7881"/>
    <w:rsid w:val="2C770676"/>
    <w:rsid w:val="2CA64AB8"/>
    <w:rsid w:val="2CB5119F"/>
    <w:rsid w:val="2CF47F19"/>
    <w:rsid w:val="2D0701DA"/>
    <w:rsid w:val="2D26209C"/>
    <w:rsid w:val="2D263378"/>
    <w:rsid w:val="2D2A56E9"/>
    <w:rsid w:val="2D40315E"/>
    <w:rsid w:val="2D5E5392"/>
    <w:rsid w:val="2D6B5FEF"/>
    <w:rsid w:val="2DA01E4F"/>
    <w:rsid w:val="2DB17BB8"/>
    <w:rsid w:val="2DDF2977"/>
    <w:rsid w:val="2E132621"/>
    <w:rsid w:val="2E24482E"/>
    <w:rsid w:val="2E271C28"/>
    <w:rsid w:val="2E425770"/>
    <w:rsid w:val="2E552C39"/>
    <w:rsid w:val="2E7C2141"/>
    <w:rsid w:val="2EA74B17"/>
    <w:rsid w:val="2EC76F67"/>
    <w:rsid w:val="2F364819"/>
    <w:rsid w:val="2F397E65"/>
    <w:rsid w:val="2F542EF1"/>
    <w:rsid w:val="2F7B047E"/>
    <w:rsid w:val="2FB120F1"/>
    <w:rsid w:val="2FB27C17"/>
    <w:rsid w:val="2FC273DC"/>
    <w:rsid w:val="2FD23E16"/>
    <w:rsid w:val="3015021F"/>
    <w:rsid w:val="305812E8"/>
    <w:rsid w:val="305A4537"/>
    <w:rsid w:val="306E1558"/>
    <w:rsid w:val="307C26FF"/>
    <w:rsid w:val="308570DA"/>
    <w:rsid w:val="30A1283C"/>
    <w:rsid w:val="30AE4883"/>
    <w:rsid w:val="30D20571"/>
    <w:rsid w:val="30D81900"/>
    <w:rsid w:val="30F5600E"/>
    <w:rsid w:val="317B4814"/>
    <w:rsid w:val="31BE544C"/>
    <w:rsid w:val="31E31E04"/>
    <w:rsid w:val="3220530C"/>
    <w:rsid w:val="322C1F03"/>
    <w:rsid w:val="328714F2"/>
    <w:rsid w:val="32A73338"/>
    <w:rsid w:val="32B53CA7"/>
    <w:rsid w:val="32D305D1"/>
    <w:rsid w:val="331C1F78"/>
    <w:rsid w:val="33541B79"/>
    <w:rsid w:val="33704071"/>
    <w:rsid w:val="33B66119"/>
    <w:rsid w:val="33BF73C8"/>
    <w:rsid w:val="33E5680D"/>
    <w:rsid w:val="34056568"/>
    <w:rsid w:val="342B5F2F"/>
    <w:rsid w:val="349D1BCE"/>
    <w:rsid w:val="34A778C6"/>
    <w:rsid w:val="34B8182C"/>
    <w:rsid w:val="34D10B40"/>
    <w:rsid w:val="34D27A7E"/>
    <w:rsid w:val="34E61A2F"/>
    <w:rsid w:val="351078BA"/>
    <w:rsid w:val="35195B0B"/>
    <w:rsid w:val="35494B7A"/>
    <w:rsid w:val="357A2F85"/>
    <w:rsid w:val="35AF70D3"/>
    <w:rsid w:val="35B00755"/>
    <w:rsid w:val="35B069A7"/>
    <w:rsid w:val="35C6441D"/>
    <w:rsid w:val="35D72186"/>
    <w:rsid w:val="36851BE2"/>
    <w:rsid w:val="36AF3103"/>
    <w:rsid w:val="36BA5D2F"/>
    <w:rsid w:val="36BB1AA7"/>
    <w:rsid w:val="36C7044C"/>
    <w:rsid w:val="36DC327D"/>
    <w:rsid w:val="37052D23"/>
    <w:rsid w:val="37135440"/>
    <w:rsid w:val="374E46CA"/>
    <w:rsid w:val="37691503"/>
    <w:rsid w:val="378D1C34"/>
    <w:rsid w:val="37976071"/>
    <w:rsid w:val="37977E1F"/>
    <w:rsid w:val="379824DC"/>
    <w:rsid w:val="37DF17C6"/>
    <w:rsid w:val="380A4A95"/>
    <w:rsid w:val="38312021"/>
    <w:rsid w:val="38793253"/>
    <w:rsid w:val="387D5266"/>
    <w:rsid w:val="387F70C4"/>
    <w:rsid w:val="38A50319"/>
    <w:rsid w:val="38AD71CE"/>
    <w:rsid w:val="38C05153"/>
    <w:rsid w:val="38C95534"/>
    <w:rsid w:val="38CC56C3"/>
    <w:rsid w:val="38DE55D9"/>
    <w:rsid w:val="38FE5C7B"/>
    <w:rsid w:val="396610FB"/>
    <w:rsid w:val="398B5A12"/>
    <w:rsid w:val="399860D0"/>
    <w:rsid w:val="39B85D22"/>
    <w:rsid w:val="39C00035"/>
    <w:rsid w:val="39CB3F06"/>
    <w:rsid w:val="3A10210A"/>
    <w:rsid w:val="3A1F40FB"/>
    <w:rsid w:val="3A5522B0"/>
    <w:rsid w:val="3A6F5083"/>
    <w:rsid w:val="3A954961"/>
    <w:rsid w:val="3AD82C28"/>
    <w:rsid w:val="3AD924FC"/>
    <w:rsid w:val="3AE55345"/>
    <w:rsid w:val="3B0F4170"/>
    <w:rsid w:val="3B3C1D94"/>
    <w:rsid w:val="3B3D0CDD"/>
    <w:rsid w:val="3B973197"/>
    <w:rsid w:val="3BA41A9C"/>
    <w:rsid w:val="3BA42B0A"/>
    <w:rsid w:val="3C047A4D"/>
    <w:rsid w:val="3C1852A6"/>
    <w:rsid w:val="3C687FDC"/>
    <w:rsid w:val="3C7F23E4"/>
    <w:rsid w:val="3CA31014"/>
    <w:rsid w:val="3CB7686D"/>
    <w:rsid w:val="3CC72F54"/>
    <w:rsid w:val="3CE05DC4"/>
    <w:rsid w:val="3CE533DA"/>
    <w:rsid w:val="3CF7310E"/>
    <w:rsid w:val="3D015D3A"/>
    <w:rsid w:val="3D0777F5"/>
    <w:rsid w:val="3D0F2205"/>
    <w:rsid w:val="3D934BE4"/>
    <w:rsid w:val="3DA52B6A"/>
    <w:rsid w:val="3DA74B34"/>
    <w:rsid w:val="3DFA2EB5"/>
    <w:rsid w:val="3DFB03D8"/>
    <w:rsid w:val="3E3A062B"/>
    <w:rsid w:val="3EC3599D"/>
    <w:rsid w:val="3F485EA2"/>
    <w:rsid w:val="3F5605BF"/>
    <w:rsid w:val="3F6F342F"/>
    <w:rsid w:val="3FB17428"/>
    <w:rsid w:val="3FF676AC"/>
    <w:rsid w:val="3FF90105"/>
    <w:rsid w:val="40155D8F"/>
    <w:rsid w:val="4061546E"/>
    <w:rsid w:val="406373E6"/>
    <w:rsid w:val="406D0527"/>
    <w:rsid w:val="40806BE1"/>
    <w:rsid w:val="408D6263"/>
    <w:rsid w:val="40E340D5"/>
    <w:rsid w:val="40F16627"/>
    <w:rsid w:val="41067DC3"/>
    <w:rsid w:val="413B4B8E"/>
    <w:rsid w:val="41580865"/>
    <w:rsid w:val="416E7E42"/>
    <w:rsid w:val="418A27A2"/>
    <w:rsid w:val="41BA0714"/>
    <w:rsid w:val="41BE244C"/>
    <w:rsid w:val="41CA7043"/>
    <w:rsid w:val="41D16B08"/>
    <w:rsid w:val="41F67393"/>
    <w:rsid w:val="41F83BB0"/>
    <w:rsid w:val="42274495"/>
    <w:rsid w:val="42310E70"/>
    <w:rsid w:val="42434F81"/>
    <w:rsid w:val="428164BD"/>
    <w:rsid w:val="42903DE8"/>
    <w:rsid w:val="42982C9D"/>
    <w:rsid w:val="42EB5F55"/>
    <w:rsid w:val="42FC147E"/>
    <w:rsid w:val="431063F7"/>
    <w:rsid w:val="43432C09"/>
    <w:rsid w:val="43505D18"/>
    <w:rsid w:val="436C66D0"/>
    <w:rsid w:val="43BB30E7"/>
    <w:rsid w:val="43E20674"/>
    <w:rsid w:val="43E21C87"/>
    <w:rsid w:val="43E3619A"/>
    <w:rsid w:val="44472BCC"/>
    <w:rsid w:val="446B4B80"/>
    <w:rsid w:val="448160DE"/>
    <w:rsid w:val="44D02BC2"/>
    <w:rsid w:val="450308A1"/>
    <w:rsid w:val="4504286C"/>
    <w:rsid w:val="4519008F"/>
    <w:rsid w:val="452627E2"/>
    <w:rsid w:val="45314D80"/>
    <w:rsid w:val="45410E41"/>
    <w:rsid w:val="45521829"/>
    <w:rsid w:val="45605CF4"/>
    <w:rsid w:val="45703A5D"/>
    <w:rsid w:val="458B6AE9"/>
    <w:rsid w:val="45991206"/>
    <w:rsid w:val="45C1250B"/>
    <w:rsid w:val="46083631"/>
    <w:rsid w:val="46496788"/>
    <w:rsid w:val="46AA2FC5"/>
    <w:rsid w:val="46C2653A"/>
    <w:rsid w:val="46CB53EF"/>
    <w:rsid w:val="46EF693B"/>
    <w:rsid w:val="475278BE"/>
    <w:rsid w:val="4760647F"/>
    <w:rsid w:val="478101A3"/>
    <w:rsid w:val="47887784"/>
    <w:rsid w:val="482254E2"/>
    <w:rsid w:val="4839282C"/>
    <w:rsid w:val="48515DC8"/>
    <w:rsid w:val="485B27A2"/>
    <w:rsid w:val="4867383D"/>
    <w:rsid w:val="48897310"/>
    <w:rsid w:val="489108BA"/>
    <w:rsid w:val="48B37F53"/>
    <w:rsid w:val="48B85E47"/>
    <w:rsid w:val="48BF0F83"/>
    <w:rsid w:val="48C04CFB"/>
    <w:rsid w:val="48C42A3E"/>
    <w:rsid w:val="48C4659A"/>
    <w:rsid w:val="48CF6744"/>
    <w:rsid w:val="48D42CC1"/>
    <w:rsid w:val="48FF5824"/>
    <w:rsid w:val="49026271"/>
    <w:rsid w:val="490B6638"/>
    <w:rsid w:val="493A685C"/>
    <w:rsid w:val="497D499A"/>
    <w:rsid w:val="499D1F90"/>
    <w:rsid w:val="49BC474C"/>
    <w:rsid w:val="49CF169A"/>
    <w:rsid w:val="49D15412"/>
    <w:rsid w:val="49D4280C"/>
    <w:rsid w:val="49E07403"/>
    <w:rsid w:val="49F70BF1"/>
    <w:rsid w:val="4A007AA5"/>
    <w:rsid w:val="4A69389D"/>
    <w:rsid w:val="4A9C36AB"/>
    <w:rsid w:val="4ABB4387"/>
    <w:rsid w:val="4ABD14F2"/>
    <w:rsid w:val="4AE52E00"/>
    <w:rsid w:val="4B133808"/>
    <w:rsid w:val="4B156DB1"/>
    <w:rsid w:val="4B1F3F5B"/>
    <w:rsid w:val="4B481704"/>
    <w:rsid w:val="4B5856BF"/>
    <w:rsid w:val="4B7D0C82"/>
    <w:rsid w:val="4B9F32EE"/>
    <w:rsid w:val="4BA17322"/>
    <w:rsid w:val="4BA32DDE"/>
    <w:rsid w:val="4C243D45"/>
    <w:rsid w:val="4C286E40"/>
    <w:rsid w:val="4C3746B5"/>
    <w:rsid w:val="4C3E6663"/>
    <w:rsid w:val="4C942727"/>
    <w:rsid w:val="4C9D5A7F"/>
    <w:rsid w:val="4CD55219"/>
    <w:rsid w:val="4CD6689C"/>
    <w:rsid w:val="4D5930D7"/>
    <w:rsid w:val="4D8C1650"/>
    <w:rsid w:val="4D9A5B1B"/>
    <w:rsid w:val="4DAF4150"/>
    <w:rsid w:val="4DBC0187"/>
    <w:rsid w:val="4DC00B2C"/>
    <w:rsid w:val="4E1D13FB"/>
    <w:rsid w:val="4E233D62"/>
    <w:rsid w:val="4E235B10"/>
    <w:rsid w:val="4E8C7B5A"/>
    <w:rsid w:val="4E9764FE"/>
    <w:rsid w:val="4EF31987"/>
    <w:rsid w:val="4F4B72F8"/>
    <w:rsid w:val="4F622668"/>
    <w:rsid w:val="4FB07878"/>
    <w:rsid w:val="4FC926E8"/>
    <w:rsid w:val="4FCC3F86"/>
    <w:rsid w:val="4FE85264"/>
    <w:rsid w:val="4FFA718B"/>
    <w:rsid w:val="50153B7F"/>
    <w:rsid w:val="502D711A"/>
    <w:rsid w:val="50792360"/>
    <w:rsid w:val="50AC44E3"/>
    <w:rsid w:val="50AD025B"/>
    <w:rsid w:val="50C64E79"/>
    <w:rsid w:val="50D70E34"/>
    <w:rsid w:val="50D77086"/>
    <w:rsid w:val="50EF640F"/>
    <w:rsid w:val="51491D32"/>
    <w:rsid w:val="5153670D"/>
    <w:rsid w:val="51842D6A"/>
    <w:rsid w:val="51874608"/>
    <w:rsid w:val="519D3E2C"/>
    <w:rsid w:val="51C25640"/>
    <w:rsid w:val="52081BED"/>
    <w:rsid w:val="524B05BE"/>
    <w:rsid w:val="52676F05"/>
    <w:rsid w:val="52A038CF"/>
    <w:rsid w:val="52D73AAB"/>
    <w:rsid w:val="52E77A54"/>
    <w:rsid w:val="53486019"/>
    <w:rsid w:val="53762CCE"/>
    <w:rsid w:val="538A21FD"/>
    <w:rsid w:val="54065CB8"/>
    <w:rsid w:val="543C16DA"/>
    <w:rsid w:val="544E5BEF"/>
    <w:rsid w:val="5472334E"/>
    <w:rsid w:val="54AF6350"/>
    <w:rsid w:val="550541C2"/>
    <w:rsid w:val="55173EF5"/>
    <w:rsid w:val="551C150B"/>
    <w:rsid w:val="554C3B9F"/>
    <w:rsid w:val="555313D1"/>
    <w:rsid w:val="556A2BB0"/>
    <w:rsid w:val="558E065B"/>
    <w:rsid w:val="559E63C4"/>
    <w:rsid w:val="55A27C63"/>
    <w:rsid w:val="55EC7130"/>
    <w:rsid w:val="56392FEF"/>
    <w:rsid w:val="563A60ED"/>
    <w:rsid w:val="56513437"/>
    <w:rsid w:val="56811F6E"/>
    <w:rsid w:val="56DE116E"/>
    <w:rsid w:val="56ED52AB"/>
    <w:rsid w:val="570109B9"/>
    <w:rsid w:val="573C5E95"/>
    <w:rsid w:val="574210DE"/>
    <w:rsid w:val="5765719A"/>
    <w:rsid w:val="576C0528"/>
    <w:rsid w:val="57776ECD"/>
    <w:rsid w:val="57A53A3A"/>
    <w:rsid w:val="57E12092"/>
    <w:rsid w:val="57E75E01"/>
    <w:rsid w:val="57EC3417"/>
    <w:rsid w:val="57EE718F"/>
    <w:rsid w:val="57F06958"/>
    <w:rsid w:val="5829466B"/>
    <w:rsid w:val="58445001"/>
    <w:rsid w:val="58CE6FC1"/>
    <w:rsid w:val="58D302A3"/>
    <w:rsid w:val="58F9403E"/>
    <w:rsid w:val="5903310E"/>
    <w:rsid w:val="59056087"/>
    <w:rsid w:val="59101387"/>
    <w:rsid w:val="59140E77"/>
    <w:rsid w:val="591470C9"/>
    <w:rsid w:val="593B28A8"/>
    <w:rsid w:val="59751508"/>
    <w:rsid w:val="598C3104"/>
    <w:rsid w:val="5992255B"/>
    <w:rsid w:val="59965D30"/>
    <w:rsid w:val="59CF1242"/>
    <w:rsid w:val="59D10B16"/>
    <w:rsid w:val="59F12F67"/>
    <w:rsid w:val="59F34ADB"/>
    <w:rsid w:val="5A113609"/>
    <w:rsid w:val="5A1D1FAE"/>
    <w:rsid w:val="5A296BA4"/>
    <w:rsid w:val="5A5B4884"/>
    <w:rsid w:val="5A623E64"/>
    <w:rsid w:val="5A7242E2"/>
    <w:rsid w:val="5A9304C2"/>
    <w:rsid w:val="5A9F5449"/>
    <w:rsid w:val="5AAB1367"/>
    <w:rsid w:val="5AC32B55"/>
    <w:rsid w:val="5AD6528C"/>
    <w:rsid w:val="5AE40D1D"/>
    <w:rsid w:val="5B0E18F6"/>
    <w:rsid w:val="5B70610D"/>
    <w:rsid w:val="5BAD7361"/>
    <w:rsid w:val="5BB82150"/>
    <w:rsid w:val="5BE03293"/>
    <w:rsid w:val="5BE71B49"/>
    <w:rsid w:val="5BE736F1"/>
    <w:rsid w:val="5C225659"/>
    <w:rsid w:val="5C245875"/>
    <w:rsid w:val="5C3B2BBF"/>
    <w:rsid w:val="5C545A2F"/>
    <w:rsid w:val="5C583771"/>
    <w:rsid w:val="5C5E240A"/>
    <w:rsid w:val="5C7B745F"/>
    <w:rsid w:val="5C88539B"/>
    <w:rsid w:val="5CE2303B"/>
    <w:rsid w:val="5CF547C2"/>
    <w:rsid w:val="5D047455"/>
    <w:rsid w:val="5D5676B9"/>
    <w:rsid w:val="5D8D22FF"/>
    <w:rsid w:val="5DAF5613"/>
    <w:rsid w:val="5DB93D9B"/>
    <w:rsid w:val="5DCB1D21"/>
    <w:rsid w:val="5DCF14D1"/>
    <w:rsid w:val="5DDB1F64"/>
    <w:rsid w:val="5DED1C97"/>
    <w:rsid w:val="5E0A161F"/>
    <w:rsid w:val="5E1B4A56"/>
    <w:rsid w:val="5E4A70E9"/>
    <w:rsid w:val="5E59732C"/>
    <w:rsid w:val="5E6957C1"/>
    <w:rsid w:val="5E8A398A"/>
    <w:rsid w:val="5E9842F9"/>
    <w:rsid w:val="5EA20CD3"/>
    <w:rsid w:val="5ED370DF"/>
    <w:rsid w:val="5EF07C91"/>
    <w:rsid w:val="5EF84D97"/>
    <w:rsid w:val="5F087E97"/>
    <w:rsid w:val="5F0E525E"/>
    <w:rsid w:val="5F185F41"/>
    <w:rsid w:val="5F4E49B7"/>
    <w:rsid w:val="5F993E84"/>
    <w:rsid w:val="5FAB005C"/>
    <w:rsid w:val="5FAE125B"/>
    <w:rsid w:val="5FCD5990"/>
    <w:rsid w:val="5FDF3861"/>
    <w:rsid w:val="5FE5531C"/>
    <w:rsid w:val="5FEB2FCF"/>
    <w:rsid w:val="600B4656"/>
    <w:rsid w:val="60151C26"/>
    <w:rsid w:val="60194FC5"/>
    <w:rsid w:val="601B6F8F"/>
    <w:rsid w:val="606C1599"/>
    <w:rsid w:val="607E751E"/>
    <w:rsid w:val="60805044"/>
    <w:rsid w:val="60874625"/>
    <w:rsid w:val="609D4FDA"/>
    <w:rsid w:val="60A52CFD"/>
    <w:rsid w:val="60AB6287"/>
    <w:rsid w:val="60AF592A"/>
    <w:rsid w:val="60B938A7"/>
    <w:rsid w:val="60BD0047"/>
    <w:rsid w:val="60F11A9E"/>
    <w:rsid w:val="60FF065F"/>
    <w:rsid w:val="6109503A"/>
    <w:rsid w:val="614E5143"/>
    <w:rsid w:val="61AD00BB"/>
    <w:rsid w:val="62285994"/>
    <w:rsid w:val="624A5438"/>
    <w:rsid w:val="62893F38"/>
    <w:rsid w:val="62943029"/>
    <w:rsid w:val="62A56FE4"/>
    <w:rsid w:val="62DB59C6"/>
    <w:rsid w:val="62EC4C13"/>
    <w:rsid w:val="62EE098B"/>
    <w:rsid w:val="63414F5F"/>
    <w:rsid w:val="634B7B8C"/>
    <w:rsid w:val="63581C5D"/>
    <w:rsid w:val="636B5B38"/>
    <w:rsid w:val="637C15CE"/>
    <w:rsid w:val="638B61DA"/>
    <w:rsid w:val="63950E07"/>
    <w:rsid w:val="639A01CB"/>
    <w:rsid w:val="63B05C41"/>
    <w:rsid w:val="63B3128D"/>
    <w:rsid w:val="63E36016"/>
    <w:rsid w:val="63F773CC"/>
    <w:rsid w:val="642F4DB7"/>
    <w:rsid w:val="64306D81"/>
    <w:rsid w:val="646031C3"/>
    <w:rsid w:val="648C220A"/>
    <w:rsid w:val="64915A72"/>
    <w:rsid w:val="64A532CB"/>
    <w:rsid w:val="651B17E0"/>
    <w:rsid w:val="652C7549"/>
    <w:rsid w:val="6535464F"/>
    <w:rsid w:val="65532D27"/>
    <w:rsid w:val="6576102B"/>
    <w:rsid w:val="65921AA2"/>
    <w:rsid w:val="65A672FB"/>
    <w:rsid w:val="65E05465"/>
    <w:rsid w:val="660404C6"/>
    <w:rsid w:val="66157FDD"/>
    <w:rsid w:val="661F2C0A"/>
    <w:rsid w:val="661F70AE"/>
    <w:rsid w:val="6624771B"/>
    <w:rsid w:val="664331C9"/>
    <w:rsid w:val="66926C36"/>
    <w:rsid w:val="6692787F"/>
    <w:rsid w:val="669E4476"/>
    <w:rsid w:val="66B5767A"/>
    <w:rsid w:val="66C20165"/>
    <w:rsid w:val="66C57C55"/>
    <w:rsid w:val="67424E02"/>
    <w:rsid w:val="67A96C2F"/>
    <w:rsid w:val="67D85766"/>
    <w:rsid w:val="67E532C0"/>
    <w:rsid w:val="67EE0AE5"/>
    <w:rsid w:val="6804655B"/>
    <w:rsid w:val="681F3395"/>
    <w:rsid w:val="68282249"/>
    <w:rsid w:val="68297D70"/>
    <w:rsid w:val="682A7A98"/>
    <w:rsid w:val="683F57E5"/>
    <w:rsid w:val="68527A4D"/>
    <w:rsid w:val="685C6397"/>
    <w:rsid w:val="68776D2D"/>
    <w:rsid w:val="68E36170"/>
    <w:rsid w:val="69166546"/>
    <w:rsid w:val="69366BE8"/>
    <w:rsid w:val="69CF3DD6"/>
    <w:rsid w:val="69D05266"/>
    <w:rsid w:val="69D43F2F"/>
    <w:rsid w:val="6A1231B1"/>
    <w:rsid w:val="6A3F1ACC"/>
    <w:rsid w:val="6A6B28C1"/>
    <w:rsid w:val="6A955B90"/>
    <w:rsid w:val="6AA3205B"/>
    <w:rsid w:val="6AC65D4A"/>
    <w:rsid w:val="6AC87D14"/>
    <w:rsid w:val="6AD14E1A"/>
    <w:rsid w:val="6ADC37BF"/>
    <w:rsid w:val="6B4450F3"/>
    <w:rsid w:val="6B454EC0"/>
    <w:rsid w:val="6B480E55"/>
    <w:rsid w:val="6B4D71EB"/>
    <w:rsid w:val="6B851761"/>
    <w:rsid w:val="6B8E2D0B"/>
    <w:rsid w:val="6BB67B6C"/>
    <w:rsid w:val="6BE47C3B"/>
    <w:rsid w:val="6BED17F6"/>
    <w:rsid w:val="6C042FCD"/>
    <w:rsid w:val="6C060AF4"/>
    <w:rsid w:val="6C0B435C"/>
    <w:rsid w:val="6C384935"/>
    <w:rsid w:val="6C5775A1"/>
    <w:rsid w:val="6C584C59"/>
    <w:rsid w:val="6C663340"/>
    <w:rsid w:val="6C68355C"/>
    <w:rsid w:val="6C725F5B"/>
    <w:rsid w:val="6D1234C8"/>
    <w:rsid w:val="6D3E250F"/>
    <w:rsid w:val="6D486EEA"/>
    <w:rsid w:val="6D5419EC"/>
    <w:rsid w:val="6D5B4E6F"/>
    <w:rsid w:val="6D7B72BF"/>
    <w:rsid w:val="6D9D57C1"/>
    <w:rsid w:val="6DCF40BD"/>
    <w:rsid w:val="6DD95D94"/>
    <w:rsid w:val="6DDF48F5"/>
    <w:rsid w:val="6DE8296C"/>
    <w:rsid w:val="6DEC5AC7"/>
    <w:rsid w:val="6DF10823"/>
    <w:rsid w:val="6DFB0400"/>
    <w:rsid w:val="6E02353D"/>
    <w:rsid w:val="6E1119D2"/>
    <w:rsid w:val="6E241705"/>
    <w:rsid w:val="6E396833"/>
    <w:rsid w:val="6E5868CD"/>
    <w:rsid w:val="6E9A203B"/>
    <w:rsid w:val="6EA36ACE"/>
    <w:rsid w:val="6ECC76A7"/>
    <w:rsid w:val="6ED24CBD"/>
    <w:rsid w:val="6EEA1CB8"/>
    <w:rsid w:val="6F0D03EB"/>
    <w:rsid w:val="6F1B7025"/>
    <w:rsid w:val="6F2179F2"/>
    <w:rsid w:val="6F3911E0"/>
    <w:rsid w:val="6F3E2E25"/>
    <w:rsid w:val="6F524050"/>
    <w:rsid w:val="6F71548B"/>
    <w:rsid w:val="6FBD596D"/>
    <w:rsid w:val="6FED3D79"/>
    <w:rsid w:val="70231548"/>
    <w:rsid w:val="704D4357"/>
    <w:rsid w:val="70891CF3"/>
    <w:rsid w:val="70981F36"/>
    <w:rsid w:val="70A95EF1"/>
    <w:rsid w:val="70E57BE1"/>
    <w:rsid w:val="70E84C6C"/>
    <w:rsid w:val="70EC5DDE"/>
    <w:rsid w:val="70F76C5D"/>
    <w:rsid w:val="7104581E"/>
    <w:rsid w:val="712466CA"/>
    <w:rsid w:val="71357785"/>
    <w:rsid w:val="71722787"/>
    <w:rsid w:val="717B5AEA"/>
    <w:rsid w:val="71892CB1"/>
    <w:rsid w:val="719170B1"/>
    <w:rsid w:val="71C31235"/>
    <w:rsid w:val="71D3434C"/>
    <w:rsid w:val="723914F7"/>
    <w:rsid w:val="723D0FE7"/>
    <w:rsid w:val="72404633"/>
    <w:rsid w:val="724F2AC9"/>
    <w:rsid w:val="72563E57"/>
    <w:rsid w:val="72632336"/>
    <w:rsid w:val="7275252F"/>
    <w:rsid w:val="72916C3D"/>
    <w:rsid w:val="72AC1CC9"/>
    <w:rsid w:val="72B816E4"/>
    <w:rsid w:val="72D97771"/>
    <w:rsid w:val="72E74AAF"/>
    <w:rsid w:val="72EC6569"/>
    <w:rsid w:val="72F967E4"/>
    <w:rsid w:val="731735E6"/>
    <w:rsid w:val="73610D05"/>
    <w:rsid w:val="7370719A"/>
    <w:rsid w:val="73E11627"/>
    <w:rsid w:val="74AE3AD6"/>
    <w:rsid w:val="74B80DF9"/>
    <w:rsid w:val="74BD01BD"/>
    <w:rsid w:val="74E41BEE"/>
    <w:rsid w:val="74E97204"/>
    <w:rsid w:val="75285260"/>
    <w:rsid w:val="754B3A1B"/>
    <w:rsid w:val="757271FA"/>
    <w:rsid w:val="75742F72"/>
    <w:rsid w:val="757765BE"/>
    <w:rsid w:val="7578775C"/>
    <w:rsid w:val="757C1E26"/>
    <w:rsid w:val="759E1D9D"/>
    <w:rsid w:val="75BA294F"/>
    <w:rsid w:val="75C630A2"/>
    <w:rsid w:val="75D67789"/>
    <w:rsid w:val="761756AB"/>
    <w:rsid w:val="762027B2"/>
    <w:rsid w:val="76206C56"/>
    <w:rsid w:val="762D1373"/>
    <w:rsid w:val="7634625D"/>
    <w:rsid w:val="76393874"/>
    <w:rsid w:val="76544B51"/>
    <w:rsid w:val="765863F0"/>
    <w:rsid w:val="766A6123"/>
    <w:rsid w:val="76726F26"/>
    <w:rsid w:val="76972358"/>
    <w:rsid w:val="76A816EE"/>
    <w:rsid w:val="76BE7C37"/>
    <w:rsid w:val="76C0375C"/>
    <w:rsid w:val="76DD06A3"/>
    <w:rsid w:val="773F4EBA"/>
    <w:rsid w:val="77440722"/>
    <w:rsid w:val="77460206"/>
    <w:rsid w:val="77644920"/>
    <w:rsid w:val="77707769"/>
    <w:rsid w:val="77BE96FE"/>
    <w:rsid w:val="77C356D5"/>
    <w:rsid w:val="77C41863"/>
    <w:rsid w:val="77CE4490"/>
    <w:rsid w:val="780B7492"/>
    <w:rsid w:val="78160310"/>
    <w:rsid w:val="7836450F"/>
    <w:rsid w:val="783F0EE9"/>
    <w:rsid w:val="784026FE"/>
    <w:rsid w:val="786F7A21"/>
    <w:rsid w:val="78915BE9"/>
    <w:rsid w:val="78917997"/>
    <w:rsid w:val="789E20B4"/>
    <w:rsid w:val="78B90C9C"/>
    <w:rsid w:val="78E0091E"/>
    <w:rsid w:val="790463BB"/>
    <w:rsid w:val="79164340"/>
    <w:rsid w:val="7927654D"/>
    <w:rsid w:val="793513CA"/>
    <w:rsid w:val="795D3D1D"/>
    <w:rsid w:val="796C21B2"/>
    <w:rsid w:val="79964E48"/>
    <w:rsid w:val="79A33E26"/>
    <w:rsid w:val="79A731EA"/>
    <w:rsid w:val="79AB6836"/>
    <w:rsid w:val="79B06543"/>
    <w:rsid w:val="79B3393D"/>
    <w:rsid w:val="79C762AC"/>
    <w:rsid w:val="79E203AB"/>
    <w:rsid w:val="79ED32F3"/>
    <w:rsid w:val="79F75F20"/>
    <w:rsid w:val="7A102B3D"/>
    <w:rsid w:val="7A590988"/>
    <w:rsid w:val="7A6D1D3E"/>
    <w:rsid w:val="7A8A161B"/>
    <w:rsid w:val="7A8D418E"/>
    <w:rsid w:val="7A8F43AA"/>
    <w:rsid w:val="7AC322A6"/>
    <w:rsid w:val="7ADE0E8D"/>
    <w:rsid w:val="7B2745E3"/>
    <w:rsid w:val="7B51165F"/>
    <w:rsid w:val="7B7FC1AC"/>
    <w:rsid w:val="7BAD2EC7"/>
    <w:rsid w:val="7BCF69FB"/>
    <w:rsid w:val="7C43369E"/>
    <w:rsid w:val="7C9C3AA9"/>
    <w:rsid w:val="7CA35EEB"/>
    <w:rsid w:val="7CA51C63"/>
    <w:rsid w:val="7CC12815"/>
    <w:rsid w:val="7CCC5441"/>
    <w:rsid w:val="7D00333D"/>
    <w:rsid w:val="7D197F5B"/>
    <w:rsid w:val="7D1D5C9D"/>
    <w:rsid w:val="7D342FE7"/>
    <w:rsid w:val="7D376633"/>
    <w:rsid w:val="7D3B4375"/>
    <w:rsid w:val="7D5316BF"/>
    <w:rsid w:val="7D637428"/>
    <w:rsid w:val="7D80622C"/>
    <w:rsid w:val="7D82324C"/>
    <w:rsid w:val="7D9F4CAD"/>
    <w:rsid w:val="7DAF266D"/>
    <w:rsid w:val="7DD02D0F"/>
    <w:rsid w:val="7DEF500B"/>
    <w:rsid w:val="7E0230E5"/>
    <w:rsid w:val="7E026C41"/>
    <w:rsid w:val="7E1D3A7B"/>
    <w:rsid w:val="7E2E3EDA"/>
    <w:rsid w:val="7E623C1E"/>
    <w:rsid w:val="7E680C1D"/>
    <w:rsid w:val="7E933D3D"/>
    <w:rsid w:val="7EB1BB0D"/>
    <w:rsid w:val="7F080287"/>
    <w:rsid w:val="7F0C421B"/>
    <w:rsid w:val="7F413799"/>
    <w:rsid w:val="7F5434CC"/>
    <w:rsid w:val="7F5C78AC"/>
    <w:rsid w:val="7F6F6558"/>
    <w:rsid w:val="7FC05006"/>
    <w:rsid w:val="7FCC39AA"/>
    <w:rsid w:val="BAFEC874"/>
    <w:rsid w:val="DDBE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00" w:firstLineChars="200"/>
      <w:jc w:val="both"/>
    </w:pPr>
    <w:rPr>
      <w:rFonts w:ascii="Times New Roman" w:hAnsi="Times New Roman" w:eastAsia="仿宋_GB2312" w:cs="方正仿宋_GB2312"/>
      <w:kern w:val="2"/>
      <w:sz w:val="32"/>
      <w:szCs w:val="30"/>
      <w:lang w:val="en-US" w:eastAsia="zh-CN" w:bidi="ar-SA"/>
      <w14:ligatures w14:val="standardContextual"/>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5"/>
    <w:qFormat/>
    <w:uiPriority w:val="99"/>
    <w:pPr>
      <w:ind w:firstLine="420"/>
    </w:pPr>
    <w:rPr>
      <w:rFonts w:eastAsia="宋体" w:cs="Times New Roman"/>
      <w:szCs w:val="20"/>
    </w:rPr>
  </w:style>
  <w:style w:type="paragraph" w:styleId="12">
    <w:name w:val="annotation text"/>
    <w:basedOn w:val="1"/>
    <w:semiHidden/>
    <w:unhideWhenUsed/>
    <w:qFormat/>
    <w:uiPriority w:val="99"/>
    <w:pPr>
      <w:jc w:val="left"/>
    </w:pPr>
  </w:style>
  <w:style w:type="paragraph" w:styleId="13">
    <w:name w:val="footer"/>
    <w:basedOn w:val="1"/>
    <w:link w:val="42"/>
    <w:unhideWhenUsed/>
    <w:qFormat/>
    <w:uiPriority w:val="99"/>
    <w:pPr>
      <w:tabs>
        <w:tab w:val="center" w:pos="4153"/>
        <w:tab w:val="right" w:pos="8306"/>
      </w:tabs>
      <w:snapToGrid w:val="0"/>
      <w:jc w:val="left"/>
    </w:pPr>
    <w:rPr>
      <w:sz w:val="18"/>
    </w:rPr>
  </w:style>
  <w:style w:type="paragraph" w:styleId="14">
    <w:name w:val="header"/>
    <w:basedOn w:val="1"/>
    <w:link w:val="43"/>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Subtitle"/>
    <w:basedOn w:val="1"/>
    <w:next w:val="1"/>
    <w:link w:val="32"/>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9">
    <w:name w:val="Strong"/>
    <w:basedOn w:val="18"/>
    <w:qFormat/>
    <w:uiPriority w:val="22"/>
    <w:rPr>
      <w:b/>
    </w:rPr>
  </w:style>
  <w:style w:type="character" w:styleId="20">
    <w:name w:val="Hyperlink"/>
    <w:basedOn w:val="18"/>
    <w:semiHidden/>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18"/>
    <w:link w:val="5"/>
    <w:semiHidden/>
    <w:qFormat/>
    <w:uiPriority w:val="9"/>
    <w:rPr>
      <w:rFonts w:cstheme="majorBidi"/>
      <w:color w:val="104862" w:themeColor="accent1" w:themeShade="BF"/>
      <w:sz w:val="28"/>
      <w:szCs w:val="28"/>
    </w:rPr>
  </w:style>
  <w:style w:type="character" w:customStyle="1" w:styleId="26">
    <w:name w:val="标题 5 字符"/>
    <w:basedOn w:val="18"/>
    <w:link w:val="6"/>
    <w:semiHidden/>
    <w:qFormat/>
    <w:uiPriority w:val="9"/>
    <w:rPr>
      <w:rFonts w:cstheme="majorBidi"/>
      <w:color w:val="104862" w:themeColor="accent1" w:themeShade="BF"/>
      <w:sz w:val="24"/>
    </w:rPr>
  </w:style>
  <w:style w:type="character" w:customStyle="1" w:styleId="27">
    <w:name w:val="标题 6 字符"/>
    <w:basedOn w:val="18"/>
    <w:link w:val="7"/>
    <w:semiHidden/>
    <w:qFormat/>
    <w:uiPriority w:val="9"/>
    <w:rPr>
      <w:rFonts w:cstheme="majorBidi"/>
      <w:b/>
      <w:bCs/>
      <w:color w:val="104862" w:themeColor="accent1" w:themeShade="BF"/>
    </w:rPr>
  </w:style>
  <w:style w:type="character" w:customStyle="1" w:styleId="28">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8"/>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18"/>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18"/>
    <w:link w:val="37"/>
    <w:qFormat/>
    <w:uiPriority w:val="30"/>
    <w:rPr>
      <w:i/>
      <w:iCs/>
      <w:color w:val="104862" w:themeColor="accent1" w:themeShade="BF"/>
    </w:rPr>
  </w:style>
  <w:style w:type="character" w:customStyle="1" w:styleId="39">
    <w:name w:val="明显参考1"/>
    <w:basedOn w:val="18"/>
    <w:qFormat/>
    <w:uiPriority w:val="32"/>
    <w:rPr>
      <w:b/>
      <w:bCs/>
      <w:smallCaps/>
      <w:color w:val="104862" w:themeColor="accent1" w:themeShade="BF"/>
      <w:spacing w:val="5"/>
    </w:rPr>
  </w:style>
  <w:style w:type="paragraph" w:customStyle="1" w:styleId="40">
    <w:name w:val="表头样式 Char"/>
    <w:basedOn w:val="1"/>
    <w:qFormat/>
    <w:uiPriority w:val="0"/>
    <w:pPr>
      <w:autoSpaceDE w:val="0"/>
      <w:autoSpaceDN w:val="0"/>
      <w:adjustRightInd w:val="0"/>
    </w:pPr>
    <w:rPr>
      <w:rFonts w:ascii="Arial" w:hAnsi="Arial" w:eastAsia="宋体" w:cs="Times New Roman"/>
      <w:b/>
      <w:kern w:val="0"/>
      <w:sz w:val="21"/>
      <w:szCs w:val="21"/>
    </w:rPr>
  </w:style>
  <w:style w:type="paragraph" w:customStyle="1" w:styleId="41">
    <w:name w:val="表格列标题"/>
    <w:basedOn w:val="1"/>
    <w:qFormat/>
    <w:uiPriority w:val="0"/>
    <w:pPr>
      <w:autoSpaceDE w:val="0"/>
      <w:autoSpaceDN w:val="0"/>
      <w:adjustRightInd w:val="0"/>
      <w:jc w:val="center"/>
    </w:pPr>
    <w:rPr>
      <w:rFonts w:ascii="Arial" w:hAnsi="Arial" w:eastAsia="宋体" w:cs="Times New Roman"/>
      <w:b/>
      <w:kern w:val="0"/>
      <w:sz w:val="21"/>
      <w:szCs w:val="20"/>
    </w:rPr>
  </w:style>
  <w:style w:type="character" w:customStyle="1" w:styleId="42">
    <w:name w:val="页脚 字符"/>
    <w:basedOn w:val="18"/>
    <w:link w:val="13"/>
    <w:qFormat/>
    <w:uiPriority w:val="0"/>
    <w:rPr>
      <w:rFonts w:hint="eastAsia" w:ascii="仿宋_GB2312" w:eastAsia="仿宋_GB2312" w:cs="方正仿宋_GB2312"/>
      <w:kern w:val="2"/>
      <w:sz w:val="18"/>
      <w:szCs w:val="30"/>
    </w:rPr>
  </w:style>
  <w:style w:type="character" w:customStyle="1" w:styleId="43">
    <w:name w:val="页眉 字符"/>
    <w:basedOn w:val="18"/>
    <w:link w:val="14"/>
    <w:qFormat/>
    <w:uiPriority w:val="0"/>
    <w:rPr>
      <w:rFonts w:hint="eastAsia" w:ascii="仿宋_GB2312" w:eastAsia="仿宋_GB2312" w:cs="方正仿宋_GB2312"/>
      <w:kern w:val="2"/>
      <w:sz w:val="18"/>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3572</Words>
  <Characters>3581</Characters>
  <Lines>49</Lines>
  <Paragraphs>14</Paragraphs>
  <TotalTime>0</TotalTime>
  <ScaleCrop>false</ScaleCrop>
  <LinksUpToDate>false</LinksUpToDate>
  <CharactersWithSpaces>3587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2024-08-01T11:57:00Z</dcterms:created>
  <dc:creator>Jun</dc:creator>
  <cp:lastModifiedBy>liteng</cp:lastModifiedBy>
  <cp:lastPrinted>2025-01-15T01:24:00Z</cp:lastPrinted>
  <dcterms:modified xsi:type="dcterms:W3CDTF">2025-03-06T10:21:00Z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4659EB6067B0458881B81A95DD7BA0FB_13</vt:lpwstr>
  </property>
  <property fmtid="{D5CDD505-2E9C-101B-9397-08002B2CF9AE}" pid="4" name="KSOTemplateDocerSaveRecord">
    <vt:lpwstr>eyJoZGlkIjoiOWU3NWI3ZGY4NTY2NGEzMjE0ZGM4ZWFkYTA1ZDllZjQiLCJ1c2VySWQiOiIzMTU4ODQyMzYifQ==</vt:lpwstr>
  </property>
</Properties>
</file>